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jc w:val="center"/>
        <w:outlineLvl w:val="4"/>
        <w:rPr>
          <w:rFonts w:ascii="Lucida Sans" w:eastAsia="Times New Roman" w:hAnsi="Lucida Sans" w:cs="Times New Roman"/>
          <w:b/>
          <w:bCs/>
          <w:color w:val="333333"/>
          <w:sz w:val="15"/>
          <w:szCs w:val="15"/>
          <w:lang w:eastAsia="it-IT"/>
        </w:rPr>
      </w:pPr>
      <w:r>
        <w:rPr>
          <w:rFonts w:ascii="Lucida Sans" w:eastAsia="Times New Roman" w:hAnsi="Lucida Sans" w:cs="Times New Roman"/>
          <w:b/>
          <w:bCs/>
          <w:color w:val="333333"/>
          <w:sz w:val="15"/>
          <w:szCs w:val="15"/>
          <w:lang w:eastAsia="it-IT"/>
        </w:rPr>
        <w:t>9 Aprile 2015</w:t>
      </w:r>
    </w:p>
    <w:p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bCs/>
          <w:color w:val="990033"/>
          <w:kern w:val="36"/>
          <w:sz w:val="36"/>
          <w:szCs w:val="36"/>
          <w:lang w:eastAsia="it-IT"/>
        </w:rPr>
      </w:pPr>
      <w:r>
        <w:rPr>
          <w:rFonts w:ascii="Lucida Sans" w:eastAsia="Times New Roman" w:hAnsi="Lucida Sans" w:cs="Times New Roman"/>
          <w:b/>
          <w:bCs/>
          <w:color w:val="990033"/>
          <w:kern w:val="36"/>
          <w:sz w:val="36"/>
          <w:szCs w:val="36"/>
          <w:lang w:eastAsia="it-IT"/>
        </w:rPr>
        <w:t>Beni ai soci: scattano le nuove verifiche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Lucida Sans" w:eastAsia="Times New Roman" w:hAnsi="Lucida Sans" w:cs="Times New Roman"/>
          <w:color w:val="005292"/>
          <w:sz w:val="21"/>
          <w:szCs w:val="21"/>
          <w:lang w:eastAsia="it-IT"/>
        </w:rPr>
      </w:pPr>
      <w:r>
        <w:rPr>
          <w:rFonts w:ascii="Lucida Sans" w:eastAsia="Times New Roman" w:hAnsi="Lucida Sans" w:cs="Times New Roman"/>
          <w:color w:val="005292"/>
          <w:sz w:val="21"/>
          <w:szCs w:val="21"/>
          <w:lang w:eastAsia="it-IT"/>
        </w:rPr>
        <w:t>L’annotazione sul libretto di circolazione del nominativo del soggetto, che utilizza l’autoveicolo aziendale, produce potenziali effetti fiscali sia in capo alla società concedente, che in capo al socio</w:t>
      </w:r>
    </w:p>
    <w:p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5"/>
          <w:szCs w:val="15"/>
          <w:lang w:eastAsia="it-IT"/>
        </w:rPr>
      </w:pPr>
    </w:p>
    <w:p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</w:pP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L’indicazione di un soggetto terzo, che ha la disponibilità del mezzo </w:t>
      </w:r>
      <w:r>
        <w:rPr>
          <w:rFonts w:ascii="inherit" w:eastAsia="Times New Roman" w:hAnsi="inherit" w:cs="Times New Roman"/>
          <w:color w:val="333333"/>
          <w:sz w:val="18"/>
          <w:szCs w:val="18"/>
          <w:u w:val="single"/>
          <w:lang w:eastAsia="it-IT"/>
        </w:rPr>
        <w:t>per oltre 30 giorni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può ingenerare controlli sul corretto adempimento della disciplina, che dal 2012 ha previsto la tassazione dell’uso di beni d’impresa, a canoni inferiori a valori di mercato.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Nessun impatto, invece, per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soci-amministratori o soci-dipendenti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che impiegano il veicolo in benefit.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Le regole sui beni aziendali dati in uso a soci a prezzi inferiori al valore di mercato, vanno oggi coordinate con i nuovi obblighi di annotazione sulla carta di circolazione, in vigore dal 3 novembre 2014 (per gli atti stipulati a partire da tale data), ai sensi dell’art. 94, comma 4-bis del codice della strada.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Qualora il veicolo, infatti, venga utilizzato da soci (o familiari della ditta individuale), si avrà evidenza dell’esistenza di una circostanza che, potenzialmente, genera reddito diverso per il socio e l’obbligo della comunicazione annuale entro il 31 ottobre 2015.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I verificatori avranno un’indicazione ulteriore, da cui possono scattare i controlli incrociati (socio-società) per verificare se il corrispettivo pattuito era almeno pari al valore del diritto di godimento o, in caso contrario, se il reddito è stato regolarmente dichiarato nel rigo RL 10.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L’annotazione non riguarda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 (in base ai chiarimenti forniti dalla Circ. 23743/2014 del Ministero delle Infrastrutture)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 gli utilizzi da parte di dipendenti, collaboratori e amministratori (anche se soci) a titolo di fringe-benefit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. In tali casi anche la disciplina dei beni assegnati ai soci non viene applicata.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br/>
        <w:t>Indicazione in Unico del reddito diverso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- Infatti, per contrastare il fenomeno delle c.d. intestazioni fittizie, l’art. 2, commi da 36-</w:t>
      </w:r>
      <w:r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lang w:eastAsia="it-IT"/>
        </w:rPr>
        <w:t>terdecies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a 36-</w:t>
      </w:r>
      <w:r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lang w:eastAsia="it-IT"/>
        </w:rPr>
        <w:t>duodevicies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, D.L. n. 138/2011 ha previsto che, per i beni dell’impresa concessi in godimento ai soci, la differenza tra il valore di mercato del bene e il corrispettivo annuo previsto per il socio costituisca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reddito diverso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 xml:space="preserve">Nel rigo RL10, colonna 1, di unico PF 2015 il socio indicherà la differenza tra il valore di mercato e il corrispettivo annuo per la concessione in godimento del veicolo aziendale che utilizza, ai sensi della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lett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. h-ter del comma 1 dell’art. 67, TUIR.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br/>
        <w:t>L’indeducibilità per la società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 - Dal lato della società concedente, è stata prevista l’indeducibilità dei costi relativi al bene concesso in godimento al socio/familiare dell’imprenditore, sempre che il corrispettivo annuo pattuito sia inferiore al valore di mercato del medesimo diritto di godimento.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Ciò, infine, implica la necessaria comunicazione all’Agenzia delle Entrate dei </w:t>
      </w: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dati relativi al Entro il prossimo 31 ottobre 2015, la società (o il socio-utilizzatore) deve inviare all’Agenzia delle Entrate l’apposita comunicazione telematica riguardante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gli utilizzi avvenuti nel 2014. Il modello non va trasmesso se l’utilizzo del socio è stato realizzato per un corrispettivo almeno pari al valore normale.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 xml:space="preserve">L’Agenzia delle Entrate con Circolare n. 24/E/2012 ha chiarito che l’indeducibilità, tuttavia, è derogata in tutti i casi in cui siano concessi in godimento beni per i quali il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Tuir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prevede già una limitazione alla deducibilità.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Tale disciplina non si applica (Circolare n.25/E/2012) qualora i beni utilizzati da soci lo siano nella loro qualità di dipendenti, amministratori o lavoratori autonomi. Tali casistiche sono, quindi, anche estranee alle disposizioni legate all’annotazione dell’utilizzatore.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>Va verificata tale disponibilità (anche privata del bene), da parte del socio nella sua qualità di amministratore, dipendente o lavoratore autonomo, come reddito in natura, che integra la retribuzione o del compenso previsto per lo svolgimento dell’attività. Per i soci-amministratori, ad esempio, la circostanza può risultare da una delibera assembleare ad hoc o da una delibera dell’organo amministrativo.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  <w:t xml:space="preserve">La deducibilità ai sensi dell’art.164 del </w:t>
      </w:r>
      <w:proofErr w:type="spellStart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Tuir</w:t>
      </w:r>
      <w:proofErr w:type="spellEnd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 per tipologia di veicolo – Ogni vettura, in base all’impiego, fa scattare una precisa deducibilità per la società concedente: 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br/>
      </w:r>
    </w:p>
    <w:p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</w:pPr>
      <w:bookmarkStart w:id="0" w:name="_GoBack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veicoli in uso promiscuo a dipendenti </w:t>
      </w:r>
      <w:r>
        <w:rPr>
          <w:rFonts w:ascii="inherit" w:eastAsia="Times New Roman" w:hAnsi="inherit" w:cs="Times New Roman"/>
          <w:color w:val="333333"/>
          <w:sz w:val="18"/>
          <w:szCs w:val="18"/>
          <w:u w:val="single"/>
          <w:lang w:eastAsia="it-IT"/>
        </w:rPr>
        <w:t>per oltre metà esercizio</w:t>
      </w: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 xml:space="preserve">: i costi di esercizio, le quote di ammortamento, i canoni di leasing </w:t>
      </w:r>
      <w:bookmarkEnd w:id="0"/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o noleggi a lungo termine sono deducibili al 70% senza limiti di costo dell'auto;</w:t>
      </w:r>
    </w:p>
    <w:p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>
        <w:rPr>
          <w:rFonts w:ascii="inherit" w:eastAsia="Times New Roman" w:hAnsi="inherit" w:cs="Times New Roman"/>
          <w:color w:val="333333"/>
          <w:sz w:val="18"/>
          <w:szCs w:val="18"/>
          <w:lang w:eastAsia="it-IT"/>
        </w:rPr>
        <w:t>veicoli aziendali diversi da quelle in uso a dipendenti: i costi di esercizio sono deducibili al 20%; gli ammortamenti pure al 20% su un importo calcolato avendo a base un costo dell'auto non superiore a 18.076 euro; i canoni leasing sono deducibili al 20% su un importo calcolato avendo a base un costo dell'auto non superiore a 18.076 euro; i</w:t>
      </w:r>
      <w:r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  <w:t xml:space="preserve"> canoni di noleggio a lungo termine sono deducibili al 20% su un importo calcolato entro un limite annuo di € 3.615 (il limite si applica alla sola quota del canone di pura locazione dell'auto al netto dei servizi accessori; tale quota deve risultare chiaramente dal contratto);veicoli di proprietà degli agenti di commercio: i costi di esercizio sono deducibili all’80%; gli ammortamenti all'80% su un importo calcolato avendo a base un costo dell'auto non superiore a 25.823 euro; i canoni leasing deducibili all'80% su un importo calcolato avendo a base un costo dell'auto non superiore a 25.823 euro;</w:t>
      </w:r>
    </w:p>
    <w:p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</w:pPr>
      <w:r>
        <w:rPr>
          <w:rFonts w:ascii="inherit" w:eastAsia="Times New Roman" w:hAnsi="inherit" w:cs="Times New Roman"/>
          <w:color w:val="333333"/>
          <w:sz w:val="20"/>
          <w:szCs w:val="20"/>
          <w:lang w:eastAsia="it-IT"/>
        </w:rPr>
        <w:t>veicoli beni strumentali per l’azienda concedente (es. società di trasporto, di noleggio, autoscuole ecc.): godono della deduzione integrale di tutti i costi, ammortamenti, leasing e noleggi.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482"/>
    <w:multiLevelType w:val="multilevel"/>
    <w:tmpl w:val="4174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2015-04-09T09:42:00Z</dcterms:created>
  <dcterms:modified xsi:type="dcterms:W3CDTF">2015-04-09T09:44:00Z</dcterms:modified>
</cp:coreProperties>
</file>