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jc w:val="center"/>
        <w:outlineLvl w:val="4"/>
        <w:rPr>
          <w:rFonts w:ascii="Lucida Sans" w:eastAsia="Times New Roman" w:hAnsi="Lucida Sans" w:cs="Times New Roman"/>
          <w:b/>
          <w:bCs/>
          <w:color w:val="333333"/>
          <w:sz w:val="36"/>
          <w:szCs w:val="36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333333"/>
          <w:sz w:val="36"/>
          <w:szCs w:val="36"/>
          <w:lang w:eastAsia="it-IT"/>
        </w:rPr>
        <w:t>2 Aprile 2015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bCs/>
          <w:color w:val="990033"/>
          <w:kern w:val="36"/>
          <w:sz w:val="36"/>
          <w:szCs w:val="36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990033"/>
          <w:kern w:val="36"/>
          <w:sz w:val="36"/>
          <w:szCs w:val="36"/>
          <w:lang w:eastAsia="it-IT"/>
        </w:rPr>
        <w:t xml:space="preserve">Reverse </w:t>
      </w:r>
      <w:proofErr w:type="spellStart"/>
      <w:r>
        <w:rPr>
          <w:rFonts w:ascii="Lucida Sans" w:eastAsia="Times New Roman" w:hAnsi="Lucida Sans" w:cs="Times New Roman"/>
          <w:b/>
          <w:bCs/>
          <w:color w:val="990033"/>
          <w:kern w:val="36"/>
          <w:sz w:val="36"/>
          <w:szCs w:val="36"/>
          <w:lang w:eastAsia="it-IT"/>
        </w:rPr>
        <w:t>charge</w:t>
      </w:r>
      <w:proofErr w:type="spellEnd"/>
      <w:r>
        <w:rPr>
          <w:rFonts w:ascii="Lucida Sans" w:eastAsia="Times New Roman" w:hAnsi="Lucida Sans" w:cs="Times New Roman"/>
          <w:b/>
          <w:bCs/>
          <w:color w:val="990033"/>
          <w:kern w:val="36"/>
          <w:sz w:val="36"/>
          <w:szCs w:val="36"/>
          <w:lang w:eastAsia="it-IT"/>
        </w:rPr>
        <w:t xml:space="preserve"> anche per le manutenzioni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Lucida Sans" w:eastAsia="Times New Roman" w:hAnsi="Lucida Sans" w:cs="Times New Roman"/>
          <w:b/>
          <w:color w:val="005292"/>
          <w:sz w:val="36"/>
          <w:szCs w:val="36"/>
          <w:lang w:eastAsia="it-IT"/>
        </w:rPr>
      </w:pPr>
      <w:r>
        <w:rPr>
          <w:rFonts w:ascii="Lucida Sans" w:eastAsia="Times New Roman" w:hAnsi="Lucida Sans" w:cs="Times New Roman"/>
          <w:b/>
          <w:color w:val="005292"/>
          <w:sz w:val="36"/>
          <w:szCs w:val="36"/>
          <w:lang w:eastAsia="it-IT"/>
        </w:rPr>
        <w:t>C.M. 14/E/2015</w:t>
      </w:r>
    </w:p>
    <w:p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5"/>
          <w:szCs w:val="15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Con la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C.M. 14/E/2015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 l’Amministrazione Finanziaria ha definitivamente chiarito che al fine di individuare quali prestazioni ricomprendere nell’ambito applicativo del reverse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charge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 ex art. 17, co. 6,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lett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 a-ter), D.P.R. 633/1972, va fatto unicamente riferimento ai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Codici ATECO 2007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Il riferimento ai suddetti codici vale per individuare l’oggetto della prestazione e non il soggetto che effettua la prestazione. Pertanto, una qualsiasi impresa che effettui servizi 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di </w:t>
      </w:r>
      <w:r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pulizia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, di </w:t>
      </w:r>
      <w:r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demolizione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, di </w:t>
      </w:r>
      <w:r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installazione d'impianti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 xml:space="preserve"> e </w:t>
      </w:r>
      <w:proofErr w:type="spellStart"/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di</w:t>
      </w:r>
      <w:r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completamento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 xml:space="preserve"> relative ad edifici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, come definiti nella C.M. 14/E/2015, sarà tenuta ad applicare il reverse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charge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Il caso delle manutenzioni di impianti -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Nel definire l’ambito oggettivo di estensione del reverse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charge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 nel settore edile, il Legislatore ha fatto riferimento all’installazione di impianti e non alla loro manutenzione. Di conseguenza, era possibile supporre che il reverse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charge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 trovasse applicazione per l’installazione degli impianti, ma non per la loro manutenzione.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Tuttavia, utilizzando come riferimento i codici ATECO tale interpretazione non deve ritenersi corretta. Questi infatti fanno riferimento anche alla manutenzione di impianti elettrici, elettronici ed idraulici. Sebbene l’Amministrazione Finanziaria non ammetta esplicitamente che le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manutenzioni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degli impianti siano ricomprese nell’ambito oggettivo della norma, il riferimento ai codici ATECO non lascia adito a dubbi. Le manutenzioni degli impianti sono da assoggettare al reverse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charge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 ex art. 17, co. 6,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lett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 a –ter), D.P.R. 633/1972.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br/>
        <w:t>Le manutenzioni ordinarie e straordinarie -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Quanto alle prestazioni di «completamento» degli edifici, il termine è impiegato dal legislatore in modo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atecnico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, non trovando riscontro nella definizione degli interventi edilizi di cui all'art. 3 del D.P.R. n. 380/2001; anche in questo caso, pertanto, si deve fare riferimento alla tabella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Ateco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, con la conseguenza che, per esempio, le prestazioni di rifacimento della facciata di un edificio rientrano fra quelle di completamento e sono, pertanto, sottoposte al meccanismo speciale.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Sempre in riferimento ai CODICI ATECO 2007, la circolare individua le prestazioni riconducibili alla nozione di 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completamento di edifici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in quelle rient</w:t>
      </w:r>
      <w:bookmarkStart w:id="0" w:name="_GoBack"/>
      <w:bookmarkEnd w:id="0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ranti nei seguenti codici attività: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</w:p>
    <w:p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• 43.31.00 Intonacatura e stuccatura;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• 43.32.01 Posa in opera di casseforti, forzieri, porte blindate;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• 43.32.02 Posa in opera di infissi, arredi, controsoffitti, pareti mobili e simili;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• 43.33.00 Rivestimento di pavimenti e di muri;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• 43.34.00 Tinteggiatura e posa in opera di vetri;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• 43.39.01 Attività non specializzate di lavori edili – muratori;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 xml:space="preserve">• 43.39.09 Altri lavori di completamento e di finitura degli edifici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n.c.a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. </w:t>
      </w:r>
    </w:p>
    <w:p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Dalla citata elencazione emerge che le prestazioni consistenti nel rifacimento della facciata di un edificio possono ritenersi comprese fra i servizi di completamento e, conseguentemente, assoggettate al meccanismo del reverse </w:t>
      </w:r>
      <w:proofErr w:type="spellStart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>charge</w:t>
      </w:r>
      <w:proofErr w:type="spellEnd"/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t xml:space="preserve"> ai sensi dell’articolo 17, sesto comma, lettera a-ter), del D.P.R. n. 633 del 1972. 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24"/>
          <w:szCs w:val="24"/>
          <w:lang w:eastAsia="it-IT"/>
        </w:rPr>
        <w:br/>
        <w:t>È evidente che con il riferimento a tali servizi, vengono ricompresi nel novero delle attività di completamento gli interventi di manutenzione ordinaria e straordinaria, nonché gli interventi di ristrutturazione, restauro, risanamento conservativo e nuova costruzione.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2015-04-02T06:29:00Z</cp:lastPrinted>
  <dcterms:created xsi:type="dcterms:W3CDTF">2015-04-02T06:24:00Z</dcterms:created>
  <dcterms:modified xsi:type="dcterms:W3CDTF">2015-04-02T06:29:00Z</dcterms:modified>
</cp:coreProperties>
</file>