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jc w:val="center"/>
        <w:outlineLvl w:val="4"/>
        <w:rPr>
          <w:rFonts w:ascii="Lucida Sans" w:eastAsia="Times New Roman" w:hAnsi="Lucida Sans" w:cs="Times New Roman"/>
          <w:b/>
          <w:bCs/>
          <w:color w:val="333333"/>
          <w:lang w:eastAsia="it-IT"/>
        </w:rPr>
      </w:pPr>
      <w:r>
        <w:rPr>
          <w:rFonts w:ascii="Lucida Sans" w:eastAsia="Times New Roman" w:hAnsi="Lucida Sans" w:cs="Times New Roman"/>
          <w:b/>
          <w:bCs/>
          <w:color w:val="333333"/>
          <w:lang w:eastAsia="it-IT"/>
        </w:rPr>
        <w:t>5 Marzo 2015</w:t>
      </w:r>
    </w:p>
    <w:p>
      <w:pPr>
        <w:shd w:val="clear" w:color="auto" w:fill="FFFFFF"/>
        <w:spacing w:after="0" w:line="240" w:lineRule="auto"/>
        <w:jc w:val="center"/>
        <w:outlineLvl w:val="0"/>
        <w:rPr>
          <w:rFonts w:ascii="Lucida Sans" w:eastAsia="Times New Roman" w:hAnsi="Lucida Sans" w:cs="Times New Roman"/>
          <w:b/>
          <w:bCs/>
          <w:color w:val="990033"/>
          <w:kern w:val="36"/>
          <w:lang w:eastAsia="it-IT"/>
        </w:rPr>
      </w:pPr>
      <w:bookmarkStart w:id="0" w:name="_GoBack"/>
      <w:r>
        <w:rPr>
          <w:rFonts w:ascii="Lucida Sans" w:eastAsia="Times New Roman" w:hAnsi="Lucida Sans" w:cs="Times New Roman"/>
          <w:b/>
          <w:bCs/>
          <w:color w:val="990033"/>
          <w:kern w:val="36"/>
          <w:lang w:eastAsia="it-IT"/>
        </w:rPr>
        <w:t>Fatturazione elettronica verso la PA: al via dal 31.03.2015</w:t>
      </w:r>
    </w:p>
    <w:bookmarkEnd w:id="0"/>
    <w:p>
      <w:pPr>
        <w:shd w:val="clear" w:color="auto" w:fill="FFFFFF"/>
        <w:spacing w:after="0" w:line="240" w:lineRule="auto"/>
        <w:jc w:val="center"/>
        <w:outlineLvl w:val="2"/>
        <w:rPr>
          <w:rFonts w:ascii="Lucida Sans" w:eastAsia="Times New Roman" w:hAnsi="Lucida Sans" w:cs="Times New Roman"/>
          <w:color w:val="005292"/>
          <w:lang w:eastAsia="it-IT"/>
        </w:rPr>
      </w:pPr>
      <w:r>
        <w:rPr>
          <w:rFonts w:ascii="Lucida Sans" w:eastAsia="Times New Roman" w:hAnsi="Lucida Sans" w:cs="Times New Roman"/>
          <w:color w:val="005292"/>
          <w:lang w:eastAsia="it-IT"/>
        </w:rPr>
        <w:t>Entro fine mese si realizzerà il definitivo passaggio dalla fattura cartacea a quella digitale per tutti i fornitori della Pubblica amministrazione.</w:t>
      </w:r>
    </w:p>
    <w:p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5"/>
          <w:szCs w:val="15"/>
          <w:lang w:eastAsia="it-IT"/>
        </w:rPr>
      </w:pPr>
    </w:p>
    <w:p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</w:pP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La tempistica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 xml:space="preserve"> - Prima dello </w:t>
      </w:r>
      <w:proofErr w:type="spellStart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swicht</w:t>
      </w:r>
      <w:proofErr w:type="spellEnd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-off definitivo, è necessario che tutti gli operatori, che effettuano cessioni di beni o prestazioni di servizi nei confronti della PA, abbiano le informazioni operative utili per rendere possibile il rispetto dell’obbligo di legge.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u w:val="single"/>
          <w:bdr w:val="none" w:sz="0" w:space="0" w:color="auto" w:frame="1"/>
          <w:lang w:eastAsia="it-IT"/>
        </w:rPr>
        <w:t>Dal 31 marzo 2015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, come prevede il D.L. n. 90/2014, i fornitori non potranno più emettere su supporto cartaceo la fattura a un’amministrazione.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Va detto che già dal 6 giugno 2014 tali regole sono divenute operative per le amministrazioni centrali e, a partire dal mese di aprile 2015, l’obbligo sarà esteso a tutte le Pubbliche amministrazioni.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In pratica: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- </w:t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u w:val="single"/>
          <w:bdr w:val="none" w:sz="0" w:space="0" w:color="auto" w:frame="1"/>
          <w:lang w:eastAsia="it-IT"/>
        </w:rPr>
        <w:t>dal 6 giugno 2014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 la fattura elettronica è diventata obbligatoria nei confronti di ministeri, agenzie fiscali ed enti nazionali di previdenza e assistenza sociale censiti nell'elenco Istat;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- </w:t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u w:val="single"/>
          <w:bdr w:val="none" w:sz="0" w:space="0" w:color="auto" w:frame="1"/>
          <w:lang w:eastAsia="it-IT"/>
        </w:rPr>
        <w:t>dal 31 marzo 2015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 l'obbligo di fatturazione elettronica si estende alle operazioni verso tutte le altre amministrazioni pubbliche.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Il legislatore garantisce, tuttavia, un </w:t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trimestre di transizione (dall'1.04.2015 fino al 30.06.2015)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, necessario per far fronte ai pagamenti delle fatture cartacee già emesse.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Le PA interessate dall'obbligo non possono accettare fatture emesse o trasmesse in forma cartacea e soprattutto non possono procedere a pagamenti, anche parziali fino a invio in forma elettronica.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L'obbligo riguarda </w:t>
      </w:r>
      <w:r>
        <w:rPr>
          <w:rFonts w:ascii="inherit" w:eastAsia="Times New Roman" w:hAnsi="inherit" w:cs="Times New Roman"/>
          <w:color w:val="333333"/>
          <w:sz w:val="18"/>
          <w:szCs w:val="18"/>
          <w:u w:val="single"/>
          <w:lang w:eastAsia="it-IT"/>
        </w:rPr>
        <w:t xml:space="preserve">l’emissione, la trasmissione, la conservazione e l’archiviazione delle </w:t>
      </w:r>
      <w:proofErr w:type="spellStart"/>
      <w:r>
        <w:rPr>
          <w:rFonts w:ascii="inherit" w:eastAsia="Times New Roman" w:hAnsi="inherit" w:cs="Times New Roman"/>
          <w:color w:val="333333"/>
          <w:sz w:val="18"/>
          <w:szCs w:val="18"/>
          <w:u w:val="single"/>
          <w:lang w:eastAsia="it-IT"/>
        </w:rPr>
        <w:t>fatture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esclusivamente</w:t>
      </w:r>
      <w:proofErr w:type="spellEnd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 xml:space="preserve"> in formato elettronico.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Il servizio gratuito della CCIAA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 xml:space="preserve"> – Il Sistema Camerale in collaborazione con l’Agenzia per l’Italia digitale della Presidenza del Consiglio dei Ministri e </w:t>
      </w:r>
      <w:proofErr w:type="spellStart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Unioncamere</w:t>
      </w:r>
      <w:proofErr w:type="spellEnd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 xml:space="preserve"> hanno messo a disposizione delle piccole e medie imprese iscritte, sul portale di Info Camere (</w:t>
      </w:r>
      <w:hyperlink r:id="rId5" w:history="1">
        <w:r>
          <w:rPr>
            <w:rFonts w:ascii="inherit" w:eastAsia="Times New Roman" w:hAnsi="inherit" w:cs="Times New Roman"/>
            <w:color w:val="005292"/>
            <w:sz w:val="18"/>
            <w:szCs w:val="18"/>
            <w:u w:val="single"/>
            <w:bdr w:val="none" w:sz="0" w:space="0" w:color="auto" w:frame="1"/>
            <w:lang w:eastAsia="it-IT"/>
          </w:rPr>
          <w:t>https://fattura-pa.infocamere.it</w:t>
        </w:r>
      </w:hyperlink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), </w:t>
      </w:r>
      <w:r>
        <w:rPr>
          <w:rFonts w:ascii="inherit" w:eastAsia="Times New Roman" w:hAnsi="inherit" w:cs="Times New Roman"/>
          <w:color w:val="333333"/>
          <w:sz w:val="18"/>
          <w:szCs w:val="18"/>
          <w:u w:val="single"/>
          <w:lang w:eastAsia="it-IT"/>
        </w:rPr>
        <w:t>gratuitamente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 xml:space="preserve">, un servizio di emissione della </w:t>
      </w:r>
      <w:proofErr w:type="spellStart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fatturaPA</w:t>
      </w:r>
      <w:proofErr w:type="spellEnd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 xml:space="preserve"> per le prime 24 fatture elettroniche.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Il servizio consente alle imprese la creazione e la completa gestione di un limitato numero di fatture nell’arco dell’anno.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Le PMI possono così adeguarsi alla nuova realtà digitale, semplicemente collegandosi al portale di servizio, senza dover scaricare alcun software o pagare un servizio esterno.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Al servizio si accede </w:t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previo riconoscimento del titolare dell’impresa tramite la Carta Nazionale dei Servizi (CNS)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, consentendo la compilazione del documento contabile, l’individuazione della PA destinataria, la firma digitale, l’invio e relativa conservazione a norma.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Chi fosse sprovvisto della CNS può ottenerla presso la Camera di commercio del proprio territorio, oppure rivolgendosi ad altri Enti o Amministrazioni Pubbliche (per la CNS) o ad operatori di mercato certificati (per i dispositivi di firma digitale).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La fatturazione elettronica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 xml:space="preserve"> - La fatturazione elettronica permette di emettere e conservare le fatture nel solo formato digitale, così come viene indicato nella Direttiva UE n. 115 del 20 dicembre 2001 introdotta in Italia dal </w:t>
      </w:r>
      <w:proofErr w:type="spellStart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D.Lgs.</w:t>
      </w:r>
      <w:proofErr w:type="spellEnd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 xml:space="preserve"> di recepimento del 20 febbraio 2004 n. 52 e dal D.M. del 23 gennaio 2014.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La Finanziaria del 2008 ha introdotto l’obbligo che </w:t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ogni fattura destinata alle PA debba essere emessa in formato elettronico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 xml:space="preserve">, in modo da poter transitare per il Sistema di Interscambio nazionale, istituito dal MEF e gestito da </w:t>
      </w:r>
      <w:proofErr w:type="spellStart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Sogei</w:t>
      </w:r>
      <w:proofErr w:type="spellEnd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 xml:space="preserve"> S.p.A. (come stabilito dal D.M. del 7 marzo 2008) e permettere un'importante attività di monitoraggio e controllo delle finanze pubbliche anche per rendere più efficienti i tempi di pagamento della Pubblica Amministrazione.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Il nuovo standard elettronico è regolamentato dal </w:t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D.M. del 3 aprile 2013 numero 55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, che oltre a stabilire le regole in materia di emissione, trasmissione e ricevimento della fattura elettronica, ha fissato </w:t>
      </w:r>
      <w:r>
        <w:rPr>
          <w:rFonts w:ascii="inherit" w:eastAsia="Times New Roman" w:hAnsi="inherit" w:cs="Times New Roman"/>
          <w:color w:val="333333"/>
          <w:sz w:val="18"/>
          <w:szCs w:val="18"/>
          <w:u w:val="single"/>
          <w:lang w:eastAsia="it-IT"/>
        </w:rPr>
        <w:t>al 6 giugno 2014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 la data di entrata in vigore dell'obbligo di fatturazione elettronica verso i </w:t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Ministeri, le Agenzie fiscali e gli Enti previdenziali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; il Decreto Irpef ha successivamente fissato al </w:t>
      </w:r>
      <w:r>
        <w:rPr>
          <w:rFonts w:ascii="inherit" w:eastAsia="Times New Roman" w:hAnsi="inherit" w:cs="Times New Roman"/>
          <w:color w:val="333333"/>
          <w:sz w:val="18"/>
          <w:szCs w:val="18"/>
          <w:u w:val="single"/>
          <w:lang w:eastAsia="it-IT"/>
        </w:rPr>
        <w:t>31 marzo 2015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 la scadenza per tutte le altre Pubbliche Amministrazioni, tra cui anche le Camere di Commercio.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Il direttore delle Entrate, Rossella Orlandi, in occasione di un incontro sul tema, ha dichiarato che auspica il decollo della fatturazione elettronica in breve tempo </w:t>
      </w:r>
      <w:r>
        <w:rPr>
          <w:rFonts w:ascii="inherit" w:eastAsia="Times New Roman" w:hAnsi="inherit" w:cs="Times New Roman"/>
          <w:color w:val="333333"/>
          <w:sz w:val="18"/>
          <w:szCs w:val="18"/>
          <w:u w:val="single"/>
          <w:lang w:eastAsia="it-IT"/>
        </w:rPr>
        <w:t>anche tra privati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 “</w:t>
      </w:r>
      <w:r>
        <w:rPr>
          <w:rFonts w:ascii="inherit" w:eastAsia="Times New Roman" w:hAnsi="inherit" w:cs="Times New Roman"/>
          <w:i/>
          <w:iCs/>
          <w:color w:val="333333"/>
          <w:sz w:val="18"/>
          <w:szCs w:val="18"/>
          <w:bdr w:val="none" w:sz="0" w:space="0" w:color="auto" w:frame="1"/>
          <w:lang w:eastAsia="it-IT"/>
        </w:rPr>
        <w:t>che dovrebbe essere incentivata per consentire il controllo fiscale, la modernizzazione delle imprese e il risparmio in termini contabili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”.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 xml:space="preserve">La verifica degli enti destinatari della </w:t>
      </w:r>
      <w:proofErr w:type="spellStart"/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fatturaPA</w:t>
      </w:r>
      <w:proofErr w:type="spellEnd"/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 xml:space="preserve">- Un punto di riferimento per comprendere se l’ente cui dobbiamo fatturare è o meno soggetto all’obbligo di emissione della fattura elettronica, è </w:t>
      </w:r>
      <w:proofErr w:type="spellStart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rappresentato</w:t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dall’elenco</w:t>
      </w:r>
      <w:proofErr w:type="spellEnd"/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 xml:space="preserve"> Istat aggiornato al 30 settembre 2014, che dal 2014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 xml:space="preserve"> comprende anche il </w:t>
      </w:r>
      <w:proofErr w:type="spellStart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Gse</w:t>
      </w:r>
      <w:proofErr w:type="spellEnd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 xml:space="preserve"> (gestore servizi energetici), ma anche </w:t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all’indice delle pubbliche amministrazioni (</w:t>
      </w:r>
      <w:proofErr w:type="spellStart"/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Ipa</w:t>
      </w:r>
      <w:proofErr w:type="spellEnd"/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)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, consultabile al sito</w:t>
      </w:r>
      <w:hyperlink r:id="rId6" w:history="1">
        <w:r>
          <w:rPr>
            <w:rFonts w:ascii="inherit" w:eastAsia="Times New Roman" w:hAnsi="inherit" w:cs="Times New Roman"/>
            <w:color w:val="005292"/>
            <w:sz w:val="18"/>
            <w:szCs w:val="18"/>
            <w:u w:val="single"/>
            <w:bdr w:val="none" w:sz="0" w:space="0" w:color="auto" w:frame="1"/>
            <w:lang w:eastAsia="it-IT"/>
          </w:rPr>
          <w:t>www.indicepa.gov.it</w:t>
        </w:r>
      </w:hyperlink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In particolare il percorso da seguire è questo: si clicca sul seguente link: http://www.indicepa.gov.it/documentale/ricerca.php e si effettua una ricerca dell’ente per codice fiscale o con altro metodo; si seleziona, una volta individuato, il simbolo dell’euro.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Nella maschera che si apre, si verifica la “</w:t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data di avvio del servizio fattura PA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”.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Inoltre nella stessa maschera è visibile il </w:t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codice univoco dell’</w:t>
      </w:r>
      <w:proofErr w:type="spellStart"/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UfficioPA</w:t>
      </w:r>
      <w:proofErr w:type="spellEnd"/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 xml:space="preserve"> dell’ente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, l’unico competente a ricevere le fatture, da inserire nel documento contabile (a pena di scarto).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In realtà, i destinatari delle fatture elettroniche dovrebbero essi stessi comunicare ai loro fornitori i</w:t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 codici univoci dell’ufficio da utilizzare per la trasmissione delle fatture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 xml:space="preserve">Secondo quanto chiarito dalla circolare del </w:t>
      </w:r>
      <w:proofErr w:type="spellStart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Mef</w:t>
      </w:r>
      <w:proofErr w:type="spellEnd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 xml:space="preserve"> e della Presidenza del Consiglio dei ministri n. 1 del 31 marzo 2014, </w:t>
      </w:r>
      <w:proofErr w:type="spellStart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nell’Ipa</w:t>
      </w:r>
      <w:proofErr w:type="spellEnd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 xml:space="preserve"> viene individuato per ogni ufficio destinatario di fatturazione elettronica </w:t>
      </w:r>
      <w:r>
        <w:rPr>
          <w:rFonts w:ascii="inherit" w:eastAsia="Times New Roman" w:hAnsi="inherit" w:cs="Times New Roman"/>
          <w:color w:val="333333"/>
          <w:sz w:val="18"/>
          <w:szCs w:val="18"/>
          <w:u w:val="single"/>
          <w:lang w:eastAsia="it-IT"/>
        </w:rPr>
        <w:t>la data a partire dalla quale il servizio di fatturazione elettronica è attivo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 xml:space="preserve">La consultazione del sito </w:t>
      </w:r>
      <w:proofErr w:type="spellStart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dell’Ipa</w:t>
      </w:r>
      <w:proofErr w:type="spellEnd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 xml:space="preserve"> diviene un elemento di cui avvalersi per la </w:t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puntuale individuazione dei destinatari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, come ribadito di recente dalla </w:t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 xml:space="preserve">Circolare 1/E/2015 in tema di split </w:t>
      </w:r>
      <w:proofErr w:type="spellStart"/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payment</w:t>
      </w:r>
      <w:proofErr w:type="spellEnd"/>
    </w:p>
    <w:p/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dicepa.gov.it/" TargetMode="External"/><Relationship Id="rId5" Type="http://schemas.openxmlformats.org/officeDocument/2006/relationships/hyperlink" Target="https://fattura-pa.infocamer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2015-03-05T07:04:00Z</dcterms:created>
  <dcterms:modified xsi:type="dcterms:W3CDTF">2015-03-05T07:06:00Z</dcterms:modified>
</cp:coreProperties>
</file>