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after="0" w:line="240" w:lineRule="auto"/>
        <w:jc w:val="center"/>
        <w:outlineLvl w:val="4"/>
        <w:rPr>
          <w:rFonts w:ascii="Lucida Sans" w:eastAsia="Times New Roman" w:hAnsi="Lucida Sans" w:cs="Times New Roman"/>
          <w:b/>
          <w:bCs/>
          <w:color w:val="333333"/>
          <w:sz w:val="15"/>
          <w:szCs w:val="15"/>
          <w:lang w:eastAsia="it-IT"/>
        </w:rPr>
      </w:pPr>
      <w:r>
        <w:rPr>
          <w:rFonts w:ascii="Lucida Sans" w:eastAsia="Times New Roman" w:hAnsi="Lucida Sans" w:cs="Times New Roman"/>
          <w:b/>
          <w:bCs/>
          <w:color w:val="333333"/>
          <w:sz w:val="15"/>
          <w:szCs w:val="15"/>
          <w:lang w:eastAsia="it-IT"/>
        </w:rPr>
        <w:t>5 Febbraio 2015</w:t>
      </w:r>
    </w:p>
    <w:p>
      <w:pPr>
        <w:shd w:val="clear" w:color="auto" w:fill="FFFFFF"/>
        <w:spacing w:after="0" w:line="240" w:lineRule="auto"/>
        <w:jc w:val="center"/>
        <w:outlineLvl w:val="0"/>
        <w:rPr>
          <w:rFonts w:ascii="Lucida Sans" w:eastAsia="Times New Roman" w:hAnsi="Lucida Sans" w:cs="Times New Roman"/>
          <w:b/>
          <w:bCs/>
          <w:color w:val="990033"/>
          <w:kern w:val="36"/>
          <w:sz w:val="36"/>
          <w:szCs w:val="36"/>
          <w:lang w:eastAsia="it-IT"/>
        </w:rPr>
      </w:pPr>
      <w:r>
        <w:rPr>
          <w:rFonts w:ascii="Lucida Sans" w:eastAsia="Times New Roman" w:hAnsi="Lucida Sans" w:cs="Times New Roman"/>
          <w:b/>
          <w:bCs/>
          <w:color w:val="990033"/>
          <w:kern w:val="36"/>
          <w:sz w:val="36"/>
          <w:szCs w:val="36"/>
          <w:lang w:eastAsia="it-IT"/>
        </w:rPr>
        <w:t>Controlli automatizzati: cartella nulla se motivazione “equivoca”</w:t>
      </w:r>
    </w:p>
    <w:p>
      <w:pPr>
        <w:shd w:val="clear" w:color="auto" w:fill="FFFFFF"/>
        <w:spacing w:after="0" w:line="240" w:lineRule="auto"/>
        <w:jc w:val="center"/>
        <w:outlineLvl w:val="2"/>
        <w:rPr>
          <w:rFonts w:ascii="Lucida Sans" w:eastAsia="Times New Roman" w:hAnsi="Lucida Sans" w:cs="Times New Roman"/>
          <w:color w:val="005292"/>
          <w:sz w:val="21"/>
          <w:szCs w:val="21"/>
          <w:lang w:eastAsia="it-IT"/>
        </w:rPr>
      </w:pPr>
      <w:r>
        <w:rPr>
          <w:rFonts w:ascii="Lucida Sans" w:eastAsia="Times New Roman" w:hAnsi="Lucida Sans" w:cs="Times New Roman"/>
          <w:color w:val="005292"/>
          <w:sz w:val="21"/>
          <w:szCs w:val="21"/>
          <w:lang w:eastAsia="it-IT"/>
        </w:rPr>
        <w:t>Cassazione, sentenza depositata il 4 febbraio 2015</w:t>
      </w:r>
    </w:p>
    <w:p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 xml:space="preserve">È nulla la cartella di pagamento, conseguente al controllo automatizzato della dichiarazione, che contiene imprecisioni ed errori che rendono poco comprensibili le ragioni della pretesa fiscale. A sostenerlo è </w:t>
      </w:r>
      <w:proofErr w:type="spellStart"/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>la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sentenza</w:t>
      </w:r>
      <w:proofErr w:type="spellEnd"/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 xml:space="preserve"> n. 1952/15, depositata ieri presso la Sezione Tributaria delle Cassazione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>. 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br/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br/>
        <w:t>La Suprema Corte ha respinto il ricorso prodotto dall’Agenzia delle Entrate confermando, così, la declaratoria di nullità di una cartella di pagamento, emessa a seguito di controllo automatizzato ex art. 36-bis D.P.R. 660/73. 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br/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br/>
        <w:t>L’Ufficio ha proceduto alla rettifica della liquidazione operata su modello 770/2001 da un sostituto d’imposta, per redditi soggetti a tassazione separata. 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br/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br/>
        <w:t>La CTR del Piemonte, in linea con la CTP di Novara, ha ravvisato un vizio di motivazione dell’atto. Vizio che è stato riscontrato anche dal giudice di vertice; il che ha determinato la 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vittoria del contribuente in tutti e tre i gradi di giudizio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>. 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br/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br/>
        <w:t>Alla S.C. la cartella è sembrata ricca d’imprecisioni ed errori tali 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da non consentire al contribuente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> la verifica dell’iter logico giuridico seguito dall’Agenzia delle Entrate o dal concessionario della riscossione per determinare l’ammontare dell’imposta. 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br/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br/>
        <w:t>La CTR, oltre al dato decisivo “</w:t>
      </w:r>
      <w:r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it-IT"/>
        </w:rPr>
        <w:t>dell’errore nell’indicazione </w:t>
      </w:r>
      <w:r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it-IT"/>
        </w:rPr>
        <w:t>delle annualità prese in considerazioni per determinare l’aliquota media del biennio precedente, al fine della sua applicabilità ai redditi sottoposti a tassazione separata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>”, ha evidenziato l’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equivocità della motivazione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> dell’atto, laddove si legge che “</w:t>
      </w:r>
      <w:r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it-IT"/>
        </w:rPr>
        <w:t>i dati sono stati desunti da dati esposti dal sostituto d’imposta e/o nel quadro RM del modello unico 2001 o nel quadro F del modello 730/2001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>” e che il contribuente “</w:t>
      </w:r>
      <w:r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it-IT"/>
        </w:rPr>
        <w:t>per molteplici ragioni potrebbe non aver più a disposizione copia o riferimenti del modello a suo tempo presentato, né può essere costretto ad ulteriori attività di ricerca per verificare la pretesa dell’ufficio impositore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>”. 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br/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br/>
        <w:t>Ebbene, secondo gli ermellini, la motivazione sopra descritta ha finito per inficiare la validità della cartella essendo “</w:t>
      </w:r>
      <w:r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it-IT"/>
        </w:rPr>
        <w:t>inammissibilmente generica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>”, tanto da lasciare al contribuente, “</w:t>
      </w:r>
      <w:r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it-IT"/>
        </w:rPr>
        <w:t>a distanza di tempo, l’incertezza circa il suo precedente comportamento”. </w:t>
      </w:r>
      <w:r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it-IT"/>
        </w:rPr>
        <w:br/>
      </w:r>
      <w:r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it-IT"/>
        </w:rPr>
        <w:br/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 xml:space="preserve">È allora corretta la ratio </w:t>
      </w:r>
      <w:proofErr w:type="spellStart"/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>decidendi</w:t>
      </w:r>
      <w:proofErr w:type="spellEnd"/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 xml:space="preserve"> della CTR, posto che l'art. 7, comma primo, dello Statuto dei diritti del contribuente - peraltro significativamente intitolato </w:t>
      </w:r>
      <w:r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it-IT"/>
        </w:rPr>
        <w:t>"chiarezza e motivazione degli atti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>" - prescrive che "</w:t>
      </w:r>
      <w:r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it-IT"/>
        </w:rPr>
        <w:t>gli atti dell'amministrazione finanziaria sono motivati secondo quanto prescritto dall'articolo 3 della legge 7 agosto 1990, n. 241, concernente la motivazione dei provvedimenti amministrativi, indicando i presupposti di fatto e le ragioni giuridiche che hanno determinato la decisione dell'amministrazione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>". 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br/>
        <w:t>La Corte, in conclusione, non ha visto ragioni per ritenere che la CTR abbia fatto cattiva applicazione della legge, come invece sostenuto dall’Agenzia. Il giudice di secondo grado si è limitato a descrivere, in concreto, le ragioni per le quali ha ritenuto - con una valutazione semmai opinabile e sindacabile sotto il profilo motivazionale - che la cartella de qua non fosse adeguatamente motivata, in relazione alla tutela apprestata dall'ordinamento al diritto di difesa del contribuente. 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br/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br/>
        <w:t>Ne è derivato il rigetto del ricorso proposto dalla difesa erariale.</w:t>
      </w:r>
      <w:bookmarkStart w:id="0" w:name="_GoBack"/>
      <w:bookmarkEnd w:id="0"/>
    </w:p>
    <w:sect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2015-02-05T12:04:00Z</dcterms:created>
  <dcterms:modified xsi:type="dcterms:W3CDTF">2015-02-05T12:05:00Z</dcterms:modified>
</cp:coreProperties>
</file>