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4 Febbraio 2015</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Prelievi irrilevanti per gli autonomi</w:t>
      </w:r>
    </w:p>
    <w:p>
      <w:pPr>
        <w:shd w:val="clear" w:color="auto" w:fill="FFFFFF"/>
        <w:spacing w:after="0" w:line="240" w:lineRule="auto"/>
        <w:jc w:val="center"/>
        <w:outlineLvl w:val="2"/>
        <w:rPr>
          <w:rFonts w:ascii="Lucida Sans" w:eastAsia="Times New Roman" w:hAnsi="Lucida Sans" w:cs="Times New Roman"/>
          <w:color w:val="005292"/>
          <w:sz w:val="21"/>
          <w:szCs w:val="21"/>
          <w:lang w:eastAsia="it-IT"/>
        </w:rPr>
      </w:pPr>
      <w:r>
        <w:rPr>
          <w:rFonts w:ascii="Lucida Sans" w:eastAsia="Times New Roman" w:hAnsi="Lucida Sans" w:cs="Times New Roman"/>
          <w:color w:val="005292"/>
          <w:sz w:val="21"/>
          <w:szCs w:val="21"/>
          <w:lang w:eastAsia="it-IT"/>
        </w:rPr>
        <w:t>Sentenza della CTR Lazio</w:t>
      </w:r>
    </w:p>
    <w:p>
      <w:pPr>
        <w:shd w:val="clear" w:color="auto" w:fill="FFFFFF"/>
        <w:spacing w:after="0" w:line="240" w:lineRule="auto"/>
        <w:jc w:val="both"/>
        <w:rPr>
          <w:rFonts w:ascii="inherit" w:eastAsia="Times New Roman" w:hAnsi="inherit" w:cs="Times New Roman"/>
          <w:color w:val="333333"/>
          <w:sz w:val="18"/>
          <w:szCs w:val="18"/>
          <w:lang w:eastAsia="it-IT"/>
        </w:rPr>
      </w:pPr>
    </w:p>
    <w:p>
      <w:pPr>
        <w:shd w:val="clear" w:color="auto" w:fill="FFFFFF"/>
        <w:spacing w:after="0" w:line="240" w:lineRule="auto"/>
        <w:jc w:val="both"/>
        <w:rPr>
          <w:rFonts w:ascii="inherit" w:eastAsia="Times New Roman" w:hAnsi="inherit" w:cs="Times New Roman"/>
          <w:color w:val="333333"/>
          <w:sz w:val="28"/>
          <w:szCs w:val="28"/>
          <w:lang w:eastAsia="it-IT"/>
        </w:rPr>
      </w:pPr>
      <w:bookmarkStart w:id="0" w:name="_GoBack"/>
      <w:r>
        <w:rPr>
          <w:rFonts w:ascii="inherit" w:eastAsia="Times New Roman" w:hAnsi="inherit" w:cs="Times New Roman"/>
          <w:b/>
          <w:color w:val="333333"/>
          <w:sz w:val="32"/>
          <w:szCs w:val="32"/>
          <w:lang w:eastAsia="it-IT"/>
        </w:rPr>
        <w:t>Per effetto della sentenza n. 228/2014 della Corte Costituzionale</w:t>
      </w:r>
      <w:bookmarkEnd w:id="0"/>
      <w:r>
        <w:rPr>
          <w:rFonts w:ascii="inherit" w:eastAsia="Times New Roman" w:hAnsi="inherit" w:cs="Times New Roman"/>
          <w:color w:val="333333"/>
          <w:sz w:val="28"/>
          <w:szCs w:val="28"/>
          <w:lang w:eastAsia="it-IT"/>
        </w:rPr>
        <w:t>, i prelevamenti ingiustificati sul conto corrente bancario del lavoratore autonomo e del professionista non possono essere considerati automaticamente ricavi “in nero”: questo principio è applicabile a tutti i giudizi ancora pendenti.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È quanto ha affermato la </w:t>
      </w:r>
      <w:r>
        <w:rPr>
          <w:rFonts w:ascii="inherit" w:eastAsia="Times New Roman" w:hAnsi="inherit" w:cs="Times New Roman"/>
          <w:b/>
          <w:bCs/>
          <w:color w:val="333333"/>
          <w:sz w:val="28"/>
          <w:szCs w:val="28"/>
          <w:bdr w:val="none" w:sz="0" w:space="0" w:color="auto" w:frame="1"/>
          <w:lang w:eastAsia="it-IT"/>
        </w:rPr>
        <w:t>Commissione Tributaria Regionale del Lazio nella sentenza n. 7523/29/14</w:t>
      </w:r>
      <w:r>
        <w:rPr>
          <w:rFonts w:ascii="inherit" w:eastAsia="Times New Roman" w:hAnsi="inherit" w:cs="Times New Roman"/>
          <w:color w:val="333333"/>
          <w:sz w:val="28"/>
          <w:szCs w:val="28"/>
          <w:lang w:eastAsia="it-IT"/>
        </w:rPr>
        <w:t>.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 xml:space="preserve">La controversia ha riguardato un avviso di accertamento relativo a un recupero a tassazione, ai fini Irpef, Iva e Irap per l’anno 2003, di compensi professionali </w:t>
      </w:r>
      <w:proofErr w:type="spellStart"/>
      <w:r>
        <w:rPr>
          <w:rFonts w:ascii="inherit" w:eastAsia="Times New Roman" w:hAnsi="inherit" w:cs="Times New Roman"/>
          <w:color w:val="333333"/>
          <w:sz w:val="28"/>
          <w:szCs w:val="28"/>
          <w:lang w:eastAsia="it-IT"/>
        </w:rPr>
        <w:t>asseritamente</w:t>
      </w:r>
      <w:proofErr w:type="spellEnd"/>
      <w:r>
        <w:rPr>
          <w:rFonts w:ascii="inherit" w:eastAsia="Times New Roman" w:hAnsi="inherit" w:cs="Times New Roman"/>
          <w:color w:val="333333"/>
          <w:sz w:val="28"/>
          <w:szCs w:val="28"/>
          <w:lang w:eastAsia="it-IT"/>
        </w:rPr>
        <w:t xml:space="preserve"> non dichiarati, sulla base dei dati acquisiti dal conto corrente del contribuente, di professione avvocato, relativamente ai quali, secondo l’Ufficio, non era stata fornita alcuna giustificazione.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 xml:space="preserve">Il giudizio di primo grado si è chiuso a favore dell’Ufficio. Di qui l’appello del professionista che è stato </w:t>
      </w:r>
      <w:r>
        <w:rPr>
          <w:rFonts w:ascii="inherit" w:eastAsia="Times New Roman" w:hAnsi="inherit" w:cs="Times New Roman"/>
          <w:b/>
          <w:bCs/>
          <w:color w:val="333333"/>
          <w:sz w:val="28"/>
          <w:szCs w:val="28"/>
          <w:bdr w:val="none" w:sz="0" w:space="0" w:color="auto" w:frame="1"/>
          <w:lang w:eastAsia="it-IT"/>
        </w:rPr>
        <w:t>parzialmente accolto </w:t>
      </w:r>
      <w:r>
        <w:rPr>
          <w:rFonts w:ascii="inherit" w:eastAsia="Times New Roman" w:hAnsi="inherit" w:cs="Times New Roman"/>
          <w:color w:val="333333"/>
          <w:sz w:val="28"/>
          <w:szCs w:val="28"/>
          <w:lang w:eastAsia="it-IT"/>
        </w:rPr>
        <w:t>dalla CTR del Lazio.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Il collegio capitolino di secondo grado ha ricordato che, per effetto della pronuncia della Consulta, l’Amministrazione finanziaria non può più fare operare le presunzioni contenute nell’articolo 32 del D.P.R. n. 600 del 1973 con riguardo ai prelevamenti non giustificati da parte di chi percepisce redditi di lavoro autonomo. La Consulta, infatti, ha dichiarato l’</w:t>
      </w:r>
      <w:r>
        <w:rPr>
          <w:rFonts w:ascii="inherit" w:eastAsia="Times New Roman" w:hAnsi="inherit" w:cs="Times New Roman"/>
          <w:b/>
          <w:bCs/>
          <w:color w:val="333333"/>
          <w:sz w:val="28"/>
          <w:szCs w:val="28"/>
          <w:bdr w:val="none" w:sz="0" w:space="0" w:color="auto" w:frame="1"/>
          <w:lang w:eastAsia="it-IT"/>
        </w:rPr>
        <w:t>illegittimità costituzionale dell’articolo 32, comma 1, n. 2), secondo periodo, del D.P.R. n. 600/73</w:t>
      </w:r>
      <w:r>
        <w:rPr>
          <w:rFonts w:ascii="inherit" w:eastAsia="Times New Roman" w:hAnsi="inherit" w:cs="Times New Roman"/>
          <w:color w:val="333333"/>
          <w:sz w:val="28"/>
          <w:szCs w:val="28"/>
          <w:lang w:eastAsia="it-IT"/>
        </w:rPr>
        <w:t>, limitatamente alle parole “</w:t>
      </w:r>
      <w:r>
        <w:rPr>
          <w:rFonts w:ascii="inherit" w:eastAsia="Times New Roman" w:hAnsi="inherit" w:cs="Times New Roman"/>
          <w:b/>
          <w:bCs/>
          <w:i/>
          <w:iCs/>
          <w:color w:val="333333"/>
          <w:sz w:val="28"/>
          <w:szCs w:val="28"/>
          <w:bdr w:val="none" w:sz="0" w:space="0" w:color="auto" w:frame="1"/>
          <w:lang w:eastAsia="it-IT"/>
        </w:rPr>
        <w:t>o compensi</w:t>
      </w:r>
      <w:r>
        <w:rPr>
          <w:rFonts w:ascii="inherit" w:eastAsia="Times New Roman" w:hAnsi="inherit" w:cs="Times New Roman"/>
          <w:color w:val="333333"/>
          <w:sz w:val="28"/>
          <w:szCs w:val="28"/>
          <w:lang w:eastAsia="it-IT"/>
        </w:rPr>
        <w:t>”, ritenendo arbitrario ipotizzare che i prelievi ingiustificati da conti correnti bancari effettuati da un lavoratore autonomo siano destinati a un investimento nell’ambito della propria attività professionale e che questo a sua volta sia produttivo di un reddito.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Ebbene, la norma, nel significato risultante dalla pronuncia della Consulta, è stata ritenuta applicabile nel caso in esame, in quanto concernente “</w:t>
      </w:r>
      <w:r>
        <w:rPr>
          <w:rFonts w:ascii="inherit" w:eastAsia="Times New Roman" w:hAnsi="inherit" w:cs="Times New Roman"/>
          <w:i/>
          <w:iCs/>
          <w:color w:val="333333"/>
          <w:sz w:val="28"/>
          <w:szCs w:val="28"/>
          <w:bdr w:val="none" w:sz="0" w:space="0" w:color="auto" w:frame="1"/>
          <w:lang w:eastAsia="it-IT"/>
        </w:rPr>
        <w:t>un rapporto non ancora esaurito</w:t>
      </w:r>
      <w:r>
        <w:rPr>
          <w:rFonts w:ascii="inherit" w:eastAsia="Times New Roman" w:hAnsi="inherit" w:cs="Times New Roman"/>
          <w:color w:val="333333"/>
          <w:sz w:val="28"/>
          <w:szCs w:val="28"/>
          <w:lang w:eastAsia="it-IT"/>
        </w:rPr>
        <w:t>”. Da qui la declaratoria d’illegittimità dell’atto impositivo oggetto di controversia per la parte concernente i “</w:t>
      </w:r>
      <w:r>
        <w:rPr>
          <w:rFonts w:ascii="inherit" w:eastAsia="Times New Roman" w:hAnsi="inherit" w:cs="Times New Roman"/>
          <w:i/>
          <w:iCs/>
          <w:color w:val="333333"/>
          <w:sz w:val="28"/>
          <w:szCs w:val="28"/>
          <w:bdr w:val="none" w:sz="0" w:space="0" w:color="auto" w:frame="1"/>
          <w:lang w:eastAsia="it-IT"/>
        </w:rPr>
        <w:t>presunti compensi generati da addebitamenti bancari non giustificati</w:t>
      </w:r>
      <w:r>
        <w:rPr>
          <w:rFonts w:ascii="inherit" w:eastAsia="Times New Roman" w:hAnsi="inherit" w:cs="Times New Roman"/>
          <w:color w:val="333333"/>
          <w:sz w:val="28"/>
          <w:szCs w:val="28"/>
          <w:lang w:eastAsia="it-IT"/>
        </w:rPr>
        <w:t>”.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Quanto ai maggiori compensi invece legittimamente individuati dall’Ufficio, a seguito di accreditamenti bancari non giustificati, la CTR capitolina ha riconosciuto il diritto del professionista a usufruire della procedura di concordato preventivo introdotto dal D.L. n. 269/2003. </w:t>
      </w:r>
      <w:r>
        <w:rPr>
          <w:rFonts w:ascii="inherit" w:eastAsia="Times New Roman" w:hAnsi="inherit" w:cs="Times New Roman"/>
          <w:color w:val="333333"/>
          <w:sz w:val="28"/>
          <w:szCs w:val="28"/>
          <w:lang w:eastAsia="it-IT"/>
        </w:rPr>
        <w:br/>
      </w:r>
      <w:r>
        <w:rPr>
          <w:rFonts w:ascii="inherit" w:eastAsia="Times New Roman" w:hAnsi="inherit" w:cs="Times New Roman"/>
          <w:color w:val="333333"/>
          <w:sz w:val="28"/>
          <w:szCs w:val="28"/>
          <w:lang w:eastAsia="it-IT"/>
        </w:rPr>
        <w:br/>
        <w:t>Le spese del giudizio sono state integralmente compensate tra le parti.</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2015-02-04T13:16:00Z</dcterms:created>
  <dcterms:modified xsi:type="dcterms:W3CDTF">2015-02-04T13:17:00Z</dcterms:modified>
</cp:coreProperties>
</file>