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15"/>
          <w:szCs w:val="15"/>
          <w:lang w:eastAsia="it-IT"/>
        </w:rPr>
      </w:pPr>
      <w:r>
        <w:rPr>
          <w:rFonts w:ascii="Lucida Sans" w:eastAsia="Times New Roman" w:hAnsi="Lucida Sans" w:cs="Times New Roman"/>
          <w:b/>
          <w:bCs/>
          <w:color w:val="333333"/>
          <w:sz w:val="15"/>
          <w:szCs w:val="15"/>
          <w:lang w:eastAsia="it-IT"/>
        </w:rPr>
        <w:t>2 Dicembre 2014</w:t>
      </w:r>
    </w:p>
    <w:p>
      <w:pPr>
        <w:shd w:val="clear" w:color="auto" w:fill="FFFFFF"/>
        <w:spacing w:after="0" w:line="240" w:lineRule="auto"/>
        <w:jc w:val="center"/>
        <w:outlineLvl w:val="0"/>
        <w:rPr>
          <w:rFonts w:ascii="Lucida Sans" w:eastAsia="Times New Roman" w:hAnsi="Lucida Sans" w:cs="Times New Roman"/>
          <w:b/>
          <w:bCs/>
          <w:color w:val="990033"/>
          <w:kern w:val="36"/>
          <w:sz w:val="36"/>
          <w:szCs w:val="36"/>
          <w:lang w:eastAsia="it-IT"/>
        </w:rPr>
      </w:pPr>
      <w:r>
        <w:rPr>
          <w:rFonts w:ascii="Lucida Sans" w:eastAsia="Times New Roman" w:hAnsi="Lucida Sans" w:cs="Times New Roman"/>
          <w:b/>
          <w:bCs/>
          <w:color w:val="990033"/>
          <w:kern w:val="36"/>
          <w:sz w:val="36"/>
          <w:szCs w:val="36"/>
          <w:lang w:eastAsia="it-IT"/>
        </w:rPr>
        <w:t>Pro rata: il conguaglio a fine anno</w:t>
      </w:r>
    </w:p>
    <w:p>
      <w:pPr>
        <w:shd w:val="clear" w:color="auto" w:fill="FFFFFF"/>
        <w:spacing w:after="0" w:line="240" w:lineRule="auto"/>
        <w:jc w:val="both"/>
        <w:rPr>
          <w:rFonts w:ascii="inherit" w:eastAsia="Times New Roman" w:hAnsi="inherit" w:cs="Times New Roman"/>
          <w:color w:val="333333"/>
          <w:lang w:eastAsia="it-IT"/>
        </w:rPr>
      </w:pPr>
      <w:r>
        <w:rPr>
          <w:rFonts w:ascii="inherit" w:eastAsia="Times New Roman" w:hAnsi="inherit" w:cs="Times New Roman"/>
          <w:color w:val="333333"/>
          <w:sz w:val="21"/>
          <w:szCs w:val="21"/>
          <w:lang w:eastAsia="it-IT"/>
        </w:rPr>
        <w:t>I soggetti che effettuano sia operazioni imponibili che operazioni esenti sono tenuti ad effettuare la liquidazione Iva applicando la regola del pro-rata (art. 19 – bis, comma 1, DPR 633/1972. </w:t>
      </w:r>
      <w:r>
        <w:rPr>
          <w:rFonts w:ascii="inherit" w:eastAsia="Times New Roman" w:hAnsi="inherit" w:cs="Times New Roman"/>
          <w:color w:val="333333"/>
          <w:sz w:val="21"/>
          <w:szCs w:val="21"/>
          <w:lang w:eastAsia="it-IT"/>
        </w:rPr>
        <w:br/>
        <w:t>In particolare, ai fini della determinazione dell’imposta, si vengono a generare due tipi di operazioni: </w:t>
      </w:r>
      <w:r>
        <w:rPr>
          <w:rFonts w:ascii="inherit" w:eastAsia="Times New Roman" w:hAnsi="inherit" w:cs="Times New Roman"/>
          <w:color w:val="333333"/>
          <w:sz w:val="21"/>
          <w:szCs w:val="21"/>
          <w:lang w:eastAsia="it-IT"/>
        </w:rPr>
        <w:br/>
        <w:t>• un tipo che dà diritto alla detrazione ai fini del calcolo del tributo in proporzione alla quantità delle operazioni imponibili, </w:t>
      </w:r>
      <w:r>
        <w:rPr>
          <w:rFonts w:ascii="inherit" w:eastAsia="Times New Roman" w:hAnsi="inherit" w:cs="Times New Roman"/>
          <w:color w:val="333333"/>
          <w:sz w:val="21"/>
          <w:szCs w:val="21"/>
          <w:lang w:eastAsia="it-IT"/>
        </w:rPr>
        <w:br/>
        <w:t>• un altro tipo che sono vere e proprie attività esenti, definite dall’art. 10 del D.P.R. 633/72. </w:t>
      </w:r>
      <w:r>
        <w:rPr>
          <w:rFonts w:ascii="inherit" w:eastAsia="Times New Roman" w:hAnsi="inherit" w:cs="Times New Roman"/>
          <w:color w:val="333333"/>
          <w:sz w:val="21"/>
          <w:szCs w:val="21"/>
          <w:lang w:eastAsia="it-IT"/>
        </w:rPr>
        <w:br/>
        <w:t>Mentre per professionisti e aziende che saltuariamente effettuano operazioni esenti il calcolo è abbastanza semplice, in realtà dove le operazioni esenti sono frequenti il calcolo presenta notevoli difficoltà. </w:t>
      </w:r>
      <w:r>
        <w:rPr>
          <w:rFonts w:ascii="inherit" w:eastAsia="Times New Roman" w:hAnsi="inherit" w:cs="Times New Roman"/>
          <w:color w:val="333333"/>
          <w:sz w:val="21"/>
          <w:szCs w:val="21"/>
          <w:lang w:eastAsia="it-IT"/>
        </w:rPr>
        <w:br/>
        <w:t>Il meccanismo si basa sul principio di correlazione (cessioni esenti- Iva su acquisti indetraibile, cessioni imponibili – Iva su acquisti detraibile), stabilisce la percentuale di Iva detraibile sugli acquisti basandosi sulla proporzione tra operazioni imponibili ed esenti. </w:t>
      </w:r>
      <w:r>
        <w:rPr>
          <w:rFonts w:ascii="inherit" w:eastAsia="Times New Roman" w:hAnsi="inherit" w:cs="Times New Roman"/>
          <w:color w:val="333333"/>
          <w:sz w:val="21"/>
          <w:szCs w:val="21"/>
          <w:lang w:eastAsia="it-IT"/>
        </w:rPr>
        <w:br/>
        <w:t>All’art. 19, comma 5, D.P.R. 633/1972, infatti, si dispone che: “ai contribuenti che esercitano sia attività che danno luogo ad operazioni che conferiscono il diritto alla detrazione sia attività che danno luogo ad operazioni esenti ai sensi dell'articolo 10, il diritto alla detrazione dell'imposta spetta in misura proporzionale alla prima categoria di operazioni e il relativo ammontare è determinato applicando la percentuale di detrazione di cui all'articolo 19-bis”. </w:t>
      </w:r>
      <w:r>
        <w:rPr>
          <w:rFonts w:ascii="inherit" w:eastAsia="Times New Roman" w:hAnsi="inherit" w:cs="Times New Roman"/>
          <w:color w:val="333333"/>
          <w:sz w:val="21"/>
          <w:szCs w:val="21"/>
          <w:lang w:eastAsia="it-IT"/>
        </w:rPr>
        <w:br/>
        <w:t>Inoltre, secondo quanto precisato dalla C.M. 328/E/97, “i soggetti che si trovano nell’anzidetta situazione, che svolgono, cioè, attività imponibile ed attività esente, non devono procedere ad alcuna distinzione degli acquisti dei beni e dei servizi, a seconda della loro destinazione in operazioni imponibili o in operazioni esenti, poiché l’imposta detraibile è determinata applicando il pro-rata a tutta l’imposta assolta sugli acquisti”. </w:t>
      </w:r>
      <w:r>
        <w:rPr>
          <w:rFonts w:ascii="inherit" w:eastAsia="Times New Roman" w:hAnsi="inherit" w:cs="Times New Roman"/>
          <w:color w:val="333333"/>
          <w:sz w:val="21"/>
          <w:szCs w:val="21"/>
          <w:lang w:eastAsia="it-IT"/>
        </w:rPr>
        <w:br/>
      </w:r>
      <w:r>
        <w:rPr>
          <w:rFonts w:ascii="inherit" w:eastAsia="Times New Roman" w:hAnsi="inherit" w:cs="Times New Roman"/>
          <w:b/>
          <w:bCs/>
          <w:color w:val="333333"/>
          <w:sz w:val="21"/>
          <w:szCs w:val="21"/>
          <w:bdr w:val="none" w:sz="0" w:space="0" w:color="auto" w:frame="1"/>
          <w:lang w:eastAsia="it-IT"/>
        </w:rPr>
        <w:t>Il calcolo </w:t>
      </w:r>
      <w:r>
        <w:rPr>
          <w:rFonts w:ascii="inherit" w:eastAsia="Times New Roman" w:hAnsi="inherit" w:cs="Times New Roman"/>
          <w:color w:val="333333"/>
          <w:sz w:val="21"/>
          <w:szCs w:val="21"/>
          <w:lang w:eastAsia="it-IT"/>
        </w:rPr>
        <w:t>- Il </w:t>
      </w:r>
      <w:r>
        <w:rPr>
          <w:rFonts w:ascii="inherit" w:eastAsia="Times New Roman" w:hAnsi="inherit" w:cs="Times New Roman"/>
          <w:b/>
          <w:bCs/>
          <w:color w:val="333333"/>
          <w:sz w:val="21"/>
          <w:szCs w:val="21"/>
          <w:bdr w:val="none" w:sz="0" w:space="0" w:color="auto" w:frame="1"/>
          <w:lang w:eastAsia="it-IT"/>
        </w:rPr>
        <w:t>pro-rata</w:t>
      </w:r>
      <w:r>
        <w:rPr>
          <w:rFonts w:ascii="inherit" w:eastAsia="Times New Roman" w:hAnsi="inherit" w:cs="Times New Roman"/>
          <w:color w:val="333333"/>
          <w:sz w:val="21"/>
          <w:szCs w:val="21"/>
          <w:lang w:eastAsia="it-IT"/>
        </w:rPr>
        <w:t xml:space="preserve"> si può definire come quella percentuale che viene rapportata all'importo </w:t>
      </w:r>
      <w:proofErr w:type="spellStart"/>
      <w:r>
        <w:rPr>
          <w:rFonts w:ascii="inherit" w:eastAsia="Times New Roman" w:hAnsi="inherit" w:cs="Times New Roman"/>
          <w:color w:val="333333"/>
          <w:sz w:val="21"/>
          <w:szCs w:val="21"/>
          <w:lang w:eastAsia="it-IT"/>
        </w:rPr>
        <w:t>delle</w:t>
      </w:r>
      <w:r>
        <w:rPr>
          <w:rFonts w:ascii="inherit" w:eastAsia="Times New Roman" w:hAnsi="inherit" w:cs="Times New Roman"/>
          <w:b/>
          <w:bCs/>
          <w:color w:val="333333"/>
          <w:sz w:val="21"/>
          <w:szCs w:val="21"/>
          <w:bdr w:val="none" w:sz="0" w:space="0" w:color="auto" w:frame="1"/>
          <w:lang w:eastAsia="it-IT"/>
        </w:rPr>
        <w:t>operazioni</w:t>
      </w:r>
      <w:proofErr w:type="spellEnd"/>
      <w:r>
        <w:rPr>
          <w:rFonts w:ascii="inherit" w:eastAsia="Times New Roman" w:hAnsi="inherit" w:cs="Times New Roman"/>
          <w:b/>
          <w:bCs/>
          <w:color w:val="333333"/>
          <w:sz w:val="21"/>
          <w:szCs w:val="21"/>
          <w:bdr w:val="none" w:sz="0" w:space="0" w:color="auto" w:frame="1"/>
          <w:lang w:eastAsia="it-IT"/>
        </w:rPr>
        <w:t xml:space="preserve"> esenti</w:t>
      </w:r>
      <w:r>
        <w:rPr>
          <w:rFonts w:ascii="inherit" w:eastAsia="Times New Roman" w:hAnsi="inherit" w:cs="Times New Roman"/>
          <w:color w:val="333333"/>
          <w:sz w:val="21"/>
          <w:szCs w:val="21"/>
          <w:lang w:eastAsia="it-IT"/>
        </w:rPr>
        <w:t> e che non si potrà detrarre ai</w:t>
      </w:r>
      <w:r>
        <w:rPr>
          <w:rFonts w:ascii="inherit" w:eastAsia="Times New Roman" w:hAnsi="inherit" w:cs="Times New Roman"/>
          <w:b/>
          <w:bCs/>
          <w:color w:val="333333"/>
          <w:sz w:val="21"/>
          <w:szCs w:val="21"/>
          <w:bdr w:val="none" w:sz="0" w:space="0" w:color="auto" w:frame="1"/>
          <w:lang w:eastAsia="it-IT"/>
        </w:rPr>
        <w:t> fini del calcolo IVA</w:t>
      </w:r>
      <w:r>
        <w:rPr>
          <w:rFonts w:ascii="inherit" w:eastAsia="Times New Roman" w:hAnsi="inherit" w:cs="Times New Roman"/>
          <w:color w:val="333333"/>
          <w:sz w:val="21"/>
          <w:szCs w:val="21"/>
          <w:lang w:eastAsia="it-IT"/>
        </w:rPr>
        <w:t>. </w:t>
      </w:r>
      <w:r>
        <w:rPr>
          <w:rFonts w:ascii="inherit" w:eastAsia="Times New Roman" w:hAnsi="inherit" w:cs="Times New Roman"/>
          <w:color w:val="333333"/>
          <w:sz w:val="21"/>
          <w:szCs w:val="21"/>
          <w:lang w:eastAsia="it-IT"/>
        </w:rPr>
        <w:br/>
        <w:t>Tale percentuale potrà essere calcolata con il seguente rapporto: </w:t>
      </w:r>
      <w:r>
        <w:rPr>
          <w:rFonts w:ascii="inherit" w:eastAsia="Times New Roman" w:hAnsi="inherit" w:cs="Times New Roman"/>
          <w:color w:val="333333"/>
          <w:sz w:val="21"/>
          <w:szCs w:val="21"/>
          <w:lang w:eastAsia="it-IT"/>
        </w:rPr>
        <w:br/>
        <w:t>• </w:t>
      </w:r>
      <w:r>
        <w:rPr>
          <w:rFonts w:ascii="inherit" w:eastAsia="Times New Roman" w:hAnsi="inherit" w:cs="Times New Roman"/>
          <w:b/>
          <w:bCs/>
          <w:color w:val="333333"/>
          <w:sz w:val="21"/>
          <w:szCs w:val="21"/>
          <w:bdr w:val="none" w:sz="0" w:space="0" w:color="auto" w:frame="1"/>
          <w:lang w:eastAsia="it-IT"/>
        </w:rPr>
        <w:t>numeratore</w:t>
      </w:r>
      <w:r>
        <w:rPr>
          <w:rFonts w:ascii="inherit" w:eastAsia="Times New Roman" w:hAnsi="inherit" w:cs="Times New Roman"/>
          <w:color w:val="333333"/>
          <w:sz w:val="21"/>
          <w:szCs w:val="21"/>
          <w:lang w:eastAsia="it-IT"/>
        </w:rPr>
        <w:t>: il valore delle operazioni imponibili più quelle escluse; </w:t>
      </w:r>
      <w:r>
        <w:rPr>
          <w:rFonts w:ascii="inherit" w:eastAsia="Times New Roman" w:hAnsi="inherit" w:cs="Times New Roman"/>
          <w:color w:val="333333"/>
          <w:sz w:val="21"/>
          <w:szCs w:val="21"/>
          <w:lang w:eastAsia="it-IT"/>
        </w:rPr>
        <w:br/>
        <w:t>• </w:t>
      </w:r>
      <w:r>
        <w:rPr>
          <w:rFonts w:ascii="inherit" w:eastAsia="Times New Roman" w:hAnsi="inherit" w:cs="Times New Roman"/>
          <w:b/>
          <w:bCs/>
          <w:color w:val="333333"/>
          <w:sz w:val="21"/>
          <w:szCs w:val="21"/>
          <w:bdr w:val="none" w:sz="0" w:space="0" w:color="auto" w:frame="1"/>
          <w:lang w:eastAsia="it-IT"/>
        </w:rPr>
        <w:t>denominatore</w:t>
      </w:r>
      <w:r>
        <w:rPr>
          <w:rFonts w:ascii="inherit" w:eastAsia="Times New Roman" w:hAnsi="inherit" w:cs="Times New Roman"/>
          <w:color w:val="333333"/>
          <w:sz w:val="21"/>
          <w:szCs w:val="21"/>
          <w:lang w:eastAsia="it-IT"/>
        </w:rPr>
        <w:t>: la somma del numeratore più tutte le operazioni esenti. </w:t>
      </w:r>
      <w:r>
        <w:rPr>
          <w:rFonts w:ascii="inherit" w:eastAsia="Times New Roman" w:hAnsi="inherit" w:cs="Times New Roman"/>
          <w:color w:val="333333"/>
          <w:sz w:val="21"/>
          <w:szCs w:val="21"/>
          <w:lang w:eastAsia="it-IT"/>
        </w:rPr>
        <w:br/>
        <w:t>L’Amministrazione Finanziaria nella </w:t>
      </w:r>
      <w:r>
        <w:rPr>
          <w:rFonts w:ascii="inherit" w:eastAsia="Times New Roman" w:hAnsi="inherit" w:cs="Times New Roman"/>
          <w:b/>
          <w:bCs/>
          <w:color w:val="333333"/>
          <w:sz w:val="21"/>
          <w:szCs w:val="21"/>
          <w:bdr w:val="none" w:sz="0" w:space="0" w:color="auto" w:frame="1"/>
          <w:lang w:eastAsia="it-IT"/>
        </w:rPr>
        <w:t>C.M. 328/E/1997</w:t>
      </w:r>
      <w:r>
        <w:rPr>
          <w:rFonts w:ascii="inherit" w:eastAsia="Times New Roman" w:hAnsi="inherit" w:cs="Times New Roman"/>
          <w:color w:val="333333"/>
          <w:sz w:val="21"/>
          <w:szCs w:val="21"/>
          <w:lang w:eastAsia="it-IT"/>
        </w:rPr>
        <w:t> ha proposto la seguente formula: </w:t>
      </w:r>
      <w:r>
        <w:rPr>
          <w:rFonts w:ascii="inherit" w:eastAsia="Times New Roman" w:hAnsi="inherit" w:cs="Times New Roman"/>
          <w:color w:val="333333"/>
          <w:sz w:val="21"/>
          <w:szCs w:val="21"/>
          <w:lang w:eastAsia="it-IT"/>
        </w:rPr>
        <w:br/>
      </w:r>
      <w:r>
        <w:rPr>
          <w:rFonts w:ascii="inherit" w:eastAsia="Times New Roman" w:hAnsi="inherit" w:cs="Times New Roman"/>
          <w:b/>
          <w:bCs/>
          <w:color w:val="333333"/>
          <w:sz w:val="21"/>
          <w:szCs w:val="21"/>
          <w:bdr w:val="none" w:sz="0" w:space="0" w:color="auto" w:frame="1"/>
          <w:lang w:eastAsia="it-IT"/>
        </w:rPr>
        <w:t>% pro-rata = </w:t>
      </w:r>
      <w:r>
        <w:rPr>
          <w:rFonts w:ascii="inherit" w:eastAsia="Times New Roman" w:hAnsi="inherit" w:cs="Times New Roman"/>
          <w:b/>
          <w:bCs/>
          <w:color w:val="333333"/>
          <w:sz w:val="21"/>
          <w:szCs w:val="21"/>
          <w:u w:val="single"/>
          <w:bdr w:val="none" w:sz="0" w:space="0" w:color="auto" w:frame="1"/>
          <w:lang w:eastAsia="it-IT"/>
        </w:rPr>
        <w:t>operazioni imponibili + operazioni assimilate</w:t>
      </w:r>
      <w:r>
        <w:rPr>
          <w:rFonts w:ascii="inherit" w:eastAsia="Times New Roman" w:hAnsi="inherit" w:cs="Times New Roman"/>
          <w:b/>
          <w:bCs/>
          <w:color w:val="333333"/>
          <w:sz w:val="21"/>
          <w:szCs w:val="21"/>
          <w:bdr w:val="none" w:sz="0" w:space="0" w:color="auto" w:frame="1"/>
          <w:lang w:eastAsia="it-IT"/>
        </w:rPr>
        <w:br/>
      </w:r>
      <w:proofErr w:type="spellStart"/>
      <w:r>
        <w:rPr>
          <w:rFonts w:ascii="inherit" w:eastAsia="Times New Roman" w:hAnsi="inherit" w:cs="Times New Roman"/>
          <w:b/>
          <w:bCs/>
          <w:color w:val="333333"/>
          <w:sz w:val="21"/>
          <w:szCs w:val="21"/>
          <w:bdr w:val="none" w:sz="0" w:space="0" w:color="auto" w:frame="1"/>
          <w:lang w:eastAsia="it-IT"/>
        </w:rPr>
        <w:t>Op.imponibili</w:t>
      </w:r>
      <w:proofErr w:type="spellEnd"/>
      <w:r>
        <w:rPr>
          <w:rFonts w:ascii="inherit" w:eastAsia="Times New Roman" w:hAnsi="inherit" w:cs="Times New Roman"/>
          <w:b/>
          <w:bCs/>
          <w:color w:val="333333"/>
          <w:sz w:val="21"/>
          <w:szCs w:val="21"/>
          <w:bdr w:val="none" w:sz="0" w:space="0" w:color="auto" w:frame="1"/>
          <w:lang w:eastAsia="it-IT"/>
        </w:rPr>
        <w:t xml:space="preserve"> + op. assimilate + op. esenti</w:t>
      </w:r>
      <w:r>
        <w:rPr>
          <w:rFonts w:ascii="inherit" w:eastAsia="Times New Roman" w:hAnsi="inherit" w:cs="Times New Roman"/>
          <w:color w:val="333333"/>
          <w:sz w:val="21"/>
          <w:szCs w:val="21"/>
          <w:lang w:eastAsia="it-IT"/>
        </w:rPr>
        <w:br/>
        <w:t xml:space="preserve">Secondo quanto disposto dall’art. 19 comma 5 del D.P.R. 633/72, nel corso dell’anno, il pro rata deve </w:t>
      </w:r>
      <w:proofErr w:type="spellStart"/>
      <w:r>
        <w:rPr>
          <w:rFonts w:ascii="inherit" w:eastAsia="Times New Roman" w:hAnsi="inherit" w:cs="Times New Roman"/>
          <w:color w:val="333333"/>
          <w:sz w:val="21"/>
          <w:szCs w:val="21"/>
          <w:lang w:eastAsia="it-IT"/>
        </w:rPr>
        <w:t>essere</w:t>
      </w:r>
      <w:r>
        <w:rPr>
          <w:rFonts w:ascii="inherit" w:eastAsia="Times New Roman" w:hAnsi="inherit" w:cs="Times New Roman"/>
          <w:b/>
          <w:bCs/>
          <w:color w:val="333333"/>
          <w:sz w:val="21"/>
          <w:szCs w:val="21"/>
          <w:bdr w:val="none" w:sz="0" w:space="0" w:color="auto" w:frame="1"/>
          <w:lang w:eastAsia="it-IT"/>
        </w:rPr>
        <w:t>provvisoriamente</w:t>
      </w:r>
      <w:proofErr w:type="spellEnd"/>
      <w:r>
        <w:rPr>
          <w:rFonts w:ascii="inherit" w:eastAsia="Times New Roman" w:hAnsi="inherit" w:cs="Times New Roman"/>
          <w:b/>
          <w:bCs/>
          <w:color w:val="333333"/>
          <w:sz w:val="21"/>
          <w:szCs w:val="21"/>
          <w:bdr w:val="none" w:sz="0" w:space="0" w:color="auto" w:frame="1"/>
          <w:lang w:eastAsia="it-IT"/>
        </w:rPr>
        <w:t xml:space="preserve"> calcolato applicando la percentuale di detrazione dell'anno precedente</w:t>
      </w:r>
      <w:r>
        <w:rPr>
          <w:rFonts w:ascii="inherit" w:eastAsia="Times New Roman" w:hAnsi="inherit" w:cs="Times New Roman"/>
          <w:color w:val="333333"/>
          <w:sz w:val="21"/>
          <w:szCs w:val="21"/>
          <w:lang w:eastAsia="it-IT"/>
        </w:rPr>
        <w:t> (c.d. pro rata provvisorio) salvo conguaglio a fine anno. </w:t>
      </w:r>
      <w:r>
        <w:rPr>
          <w:rFonts w:ascii="inherit" w:eastAsia="Times New Roman" w:hAnsi="inherit" w:cs="Times New Roman"/>
          <w:color w:val="333333"/>
          <w:sz w:val="21"/>
          <w:szCs w:val="21"/>
          <w:lang w:eastAsia="it-IT"/>
        </w:rPr>
        <w:br/>
        <w:t>La stessa </w:t>
      </w:r>
      <w:r>
        <w:rPr>
          <w:rFonts w:ascii="inherit" w:eastAsia="Times New Roman" w:hAnsi="inherit" w:cs="Times New Roman"/>
          <w:b/>
          <w:bCs/>
          <w:color w:val="333333"/>
          <w:sz w:val="21"/>
          <w:szCs w:val="21"/>
          <w:bdr w:val="none" w:sz="0" w:space="0" w:color="auto" w:frame="1"/>
          <w:lang w:eastAsia="it-IT"/>
        </w:rPr>
        <w:t>Direttiva 2006/112/CE, all’art. 175 par. 1</w:t>
      </w:r>
      <w:r>
        <w:rPr>
          <w:rFonts w:ascii="inherit" w:eastAsia="Times New Roman" w:hAnsi="inherit" w:cs="Times New Roman"/>
          <w:color w:val="333333"/>
          <w:sz w:val="21"/>
          <w:szCs w:val="21"/>
          <w:lang w:eastAsia="it-IT"/>
        </w:rPr>
        <w:t>, sottolinea che il pro rata "</w:t>
      </w:r>
      <w:r>
        <w:rPr>
          <w:rFonts w:ascii="inherit" w:eastAsia="Times New Roman" w:hAnsi="inherit" w:cs="Times New Roman"/>
          <w:i/>
          <w:iCs/>
          <w:color w:val="333333"/>
          <w:sz w:val="21"/>
          <w:szCs w:val="21"/>
          <w:bdr w:val="none" w:sz="0" w:space="0" w:color="auto" w:frame="1"/>
          <w:lang w:eastAsia="it-IT"/>
        </w:rPr>
        <w:t>è determinato su base annuale</w:t>
      </w:r>
      <w:r>
        <w:rPr>
          <w:rFonts w:ascii="inherit" w:eastAsia="Times New Roman" w:hAnsi="inherit" w:cs="Times New Roman"/>
          <w:color w:val="333333"/>
          <w:sz w:val="21"/>
          <w:szCs w:val="21"/>
          <w:lang w:eastAsia="it-IT"/>
        </w:rPr>
        <w:t>". Pertanto, il</w:t>
      </w:r>
      <w:r>
        <w:rPr>
          <w:rFonts w:ascii="inherit" w:eastAsia="Times New Roman" w:hAnsi="inherit" w:cs="Times New Roman"/>
          <w:b/>
          <w:bCs/>
          <w:color w:val="333333"/>
          <w:sz w:val="21"/>
          <w:szCs w:val="21"/>
          <w:bdr w:val="none" w:sz="0" w:space="0" w:color="auto" w:frame="1"/>
          <w:lang w:eastAsia="it-IT"/>
        </w:rPr>
        <w:t> conguaglio deve essere determinato in sede di dichiarazione annuale Iva </w:t>
      </w:r>
      <w:r>
        <w:rPr>
          <w:rFonts w:ascii="inherit" w:eastAsia="Times New Roman" w:hAnsi="inherit" w:cs="Times New Roman"/>
          <w:color w:val="333333"/>
          <w:sz w:val="21"/>
          <w:szCs w:val="21"/>
          <w:lang w:eastAsia="it-IT"/>
        </w:rPr>
        <w:t>con il calcolo della percentuale di detrazione definitiva relativa alle operazioni effettuate durante l'intero anno. </w:t>
      </w:r>
      <w:r>
        <w:rPr>
          <w:rFonts w:ascii="inherit" w:eastAsia="Times New Roman" w:hAnsi="inherit" w:cs="Times New Roman"/>
          <w:color w:val="333333"/>
          <w:sz w:val="21"/>
          <w:szCs w:val="21"/>
          <w:lang w:eastAsia="it-IT"/>
        </w:rPr>
        <w:br/>
        <w:t>Se ci si trova, invece, in presenza di contribuenti che iniziano l’attività in corso d’anno il pro rata deve essere determinato presuntivamente, salvo il suddetto conguaglio a fine anno. </w:t>
      </w:r>
      <w:r>
        <w:rPr>
          <w:rFonts w:ascii="inherit" w:eastAsia="Times New Roman" w:hAnsi="inherit" w:cs="Times New Roman"/>
          <w:color w:val="333333"/>
          <w:sz w:val="21"/>
          <w:szCs w:val="21"/>
          <w:lang w:eastAsia="it-IT"/>
        </w:rPr>
        <w:br/>
        <w:t>Nel calcolo del pro rata di detraibilità vanno esclusi dal rapporto, sia al numeratore che al denominatore, le seguenti operazioni: </w:t>
      </w:r>
      <w:r>
        <w:rPr>
          <w:rFonts w:ascii="inherit" w:eastAsia="Times New Roman" w:hAnsi="inherit" w:cs="Times New Roman"/>
          <w:color w:val="333333"/>
          <w:sz w:val="21"/>
          <w:szCs w:val="21"/>
          <w:lang w:eastAsia="it-IT"/>
        </w:rPr>
        <w:br/>
        <w:t>a) le </w:t>
      </w:r>
      <w:r>
        <w:rPr>
          <w:rFonts w:ascii="inherit" w:eastAsia="Times New Roman" w:hAnsi="inherit" w:cs="Times New Roman"/>
          <w:b/>
          <w:bCs/>
          <w:color w:val="333333"/>
          <w:sz w:val="21"/>
          <w:szCs w:val="21"/>
          <w:bdr w:val="none" w:sz="0" w:space="0" w:color="auto" w:frame="1"/>
          <w:lang w:eastAsia="it-IT"/>
        </w:rPr>
        <w:t>cessioni di beni ammortizzabili </w:t>
      </w:r>
      <w:r>
        <w:rPr>
          <w:rFonts w:ascii="inherit" w:eastAsia="Times New Roman" w:hAnsi="inherit" w:cs="Times New Roman"/>
          <w:color w:val="333333"/>
          <w:sz w:val="21"/>
          <w:szCs w:val="21"/>
          <w:lang w:eastAsia="it-IT"/>
        </w:rPr>
        <w:t>materiali e immateriali; </w:t>
      </w:r>
      <w:r>
        <w:rPr>
          <w:rFonts w:ascii="inherit" w:eastAsia="Times New Roman" w:hAnsi="inherit" w:cs="Times New Roman"/>
          <w:color w:val="333333"/>
          <w:sz w:val="21"/>
          <w:szCs w:val="21"/>
          <w:lang w:eastAsia="it-IT"/>
        </w:rPr>
        <w:br/>
        <w:t>b) i</w:t>
      </w:r>
      <w:r>
        <w:rPr>
          <w:rFonts w:ascii="inherit" w:eastAsia="Times New Roman" w:hAnsi="inherit" w:cs="Times New Roman"/>
          <w:b/>
          <w:bCs/>
          <w:color w:val="333333"/>
          <w:sz w:val="21"/>
          <w:szCs w:val="21"/>
          <w:bdr w:val="none" w:sz="0" w:space="0" w:color="auto" w:frame="1"/>
          <w:lang w:eastAsia="it-IT"/>
        </w:rPr>
        <w:t> trasferimenti interni </w:t>
      </w:r>
      <w:r>
        <w:rPr>
          <w:rFonts w:ascii="inherit" w:eastAsia="Times New Roman" w:hAnsi="inherit" w:cs="Times New Roman"/>
          <w:color w:val="333333"/>
          <w:sz w:val="21"/>
          <w:szCs w:val="21"/>
          <w:lang w:eastAsia="it-IT"/>
        </w:rPr>
        <w:t>di beni o servizi tra attività dello stesso soggetto che ha separato contabilmente una o più attività, ai sensi dell'art. 36 del D.P.R. 633/1972; </w:t>
      </w:r>
      <w:r>
        <w:rPr>
          <w:rFonts w:ascii="inherit" w:eastAsia="Times New Roman" w:hAnsi="inherit" w:cs="Times New Roman"/>
          <w:color w:val="333333"/>
          <w:sz w:val="21"/>
          <w:szCs w:val="21"/>
          <w:lang w:eastAsia="it-IT"/>
        </w:rPr>
        <w:br/>
        <w:t>c) le </w:t>
      </w:r>
      <w:r>
        <w:rPr>
          <w:rFonts w:ascii="inherit" w:eastAsia="Times New Roman" w:hAnsi="inherit" w:cs="Times New Roman"/>
          <w:b/>
          <w:bCs/>
          <w:color w:val="333333"/>
          <w:sz w:val="21"/>
          <w:szCs w:val="21"/>
          <w:bdr w:val="none" w:sz="0" w:space="0" w:color="auto" w:frame="1"/>
          <w:lang w:eastAsia="it-IT"/>
        </w:rPr>
        <w:t>operazioni esenti</w:t>
      </w:r>
      <w:r>
        <w:rPr>
          <w:rFonts w:ascii="inherit" w:eastAsia="Times New Roman" w:hAnsi="inherit" w:cs="Times New Roman"/>
          <w:color w:val="333333"/>
          <w:sz w:val="21"/>
          <w:szCs w:val="21"/>
          <w:lang w:eastAsia="it-IT"/>
        </w:rPr>
        <w:t> indicate ai </w:t>
      </w:r>
      <w:r>
        <w:rPr>
          <w:rFonts w:ascii="inherit" w:eastAsia="Times New Roman" w:hAnsi="inherit" w:cs="Times New Roman"/>
          <w:b/>
          <w:bCs/>
          <w:color w:val="333333"/>
          <w:sz w:val="21"/>
          <w:szCs w:val="21"/>
          <w:bdr w:val="none" w:sz="0" w:space="0" w:color="auto" w:frame="1"/>
          <w:lang w:eastAsia="it-IT"/>
        </w:rPr>
        <w:t>numeri da 1 a 9 dell'art. 10</w:t>
      </w:r>
      <w:r>
        <w:rPr>
          <w:rFonts w:ascii="inherit" w:eastAsia="Times New Roman" w:hAnsi="inherit" w:cs="Times New Roman"/>
          <w:color w:val="333333"/>
          <w:sz w:val="21"/>
          <w:szCs w:val="21"/>
          <w:lang w:eastAsia="it-IT"/>
        </w:rPr>
        <w:t>, quando non formano oggetto dell'attività propria del soggetto passivo o non sono accessorie ad operazioni imponibili; </w:t>
      </w:r>
      <w:r>
        <w:rPr>
          <w:rFonts w:ascii="inherit" w:eastAsia="Times New Roman" w:hAnsi="inherit" w:cs="Times New Roman"/>
          <w:color w:val="333333"/>
          <w:sz w:val="21"/>
          <w:szCs w:val="21"/>
          <w:lang w:eastAsia="it-IT"/>
        </w:rPr>
        <w:br/>
        <w:t>d) le operazioni escluse dall'ambito di applicazione dell'Iva, di cui all'art. 2, comma 1, lettere a), b), d) ed f), vale a dire: </w:t>
      </w:r>
      <w:r>
        <w:rPr>
          <w:rFonts w:ascii="inherit" w:eastAsia="Times New Roman" w:hAnsi="inherit" w:cs="Times New Roman"/>
          <w:color w:val="333333"/>
          <w:sz w:val="21"/>
          <w:szCs w:val="21"/>
          <w:lang w:eastAsia="it-IT"/>
        </w:rPr>
        <w:br/>
      </w:r>
      <w:r>
        <w:rPr>
          <w:rFonts w:ascii="inherit" w:eastAsia="Times New Roman" w:hAnsi="inherit" w:cs="Times New Roman"/>
          <w:b/>
          <w:bCs/>
          <w:color w:val="333333"/>
          <w:sz w:val="21"/>
          <w:szCs w:val="21"/>
          <w:bdr w:val="none" w:sz="0" w:space="0" w:color="auto" w:frame="1"/>
          <w:lang w:eastAsia="it-IT"/>
        </w:rPr>
        <w:t>- cessioni di denaro; </w:t>
      </w:r>
      <w:r>
        <w:rPr>
          <w:rFonts w:ascii="inherit" w:eastAsia="Times New Roman" w:hAnsi="inherit" w:cs="Times New Roman"/>
          <w:b/>
          <w:bCs/>
          <w:color w:val="333333"/>
          <w:sz w:val="21"/>
          <w:szCs w:val="21"/>
          <w:bdr w:val="none" w:sz="0" w:space="0" w:color="auto" w:frame="1"/>
          <w:lang w:eastAsia="it-IT"/>
        </w:rPr>
        <w:br/>
        <w:t>- conferimenti d'azienda; </w:t>
      </w:r>
      <w:r>
        <w:rPr>
          <w:rFonts w:ascii="inherit" w:eastAsia="Times New Roman" w:hAnsi="inherit" w:cs="Times New Roman"/>
          <w:b/>
          <w:bCs/>
          <w:color w:val="333333"/>
          <w:sz w:val="21"/>
          <w:szCs w:val="21"/>
          <w:bdr w:val="none" w:sz="0" w:space="0" w:color="auto" w:frame="1"/>
          <w:lang w:eastAsia="it-IT"/>
        </w:rPr>
        <w:br/>
        <w:t>- cessioni gratuite di campioni di modico valore; </w:t>
      </w:r>
      <w:bookmarkStart w:id="0" w:name="_GoBack"/>
      <w:bookmarkEnd w:id="0"/>
      <w:r>
        <w:rPr>
          <w:rFonts w:ascii="inherit" w:eastAsia="Times New Roman" w:hAnsi="inherit" w:cs="Times New Roman"/>
          <w:b/>
          <w:bCs/>
          <w:color w:val="333333"/>
          <w:sz w:val="21"/>
          <w:szCs w:val="21"/>
          <w:bdr w:val="none" w:sz="0" w:space="0" w:color="auto" w:frame="1"/>
          <w:lang w:eastAsia="it-IT"/>
        </w:rPr>
        <w:br/>
        <w:t>- passaggi di beni per fusioni, scissioni;</w:t>
      </w:r>
      <w:r>
        <w:rPr>
          <w:rFonts w:ascii="inherit" w:eastAsia="Times New Roman" w:hAnsi="inherit" w:cs="Times New Roman"/>
          <w:color w:val="333333"/>
          <w:sz w:val="21"/>
          <w:szCs w:val="21"/>
          <w:lang w:eastAsia="it-IT"/>
        </w:rPr>
        <w:br/>
        <w:t xml:space="preserve">e) le cessioni esenti, di cui all'art. 10, n. 27-quinquies, cioè quelle relative a beni sui quali non è stata recuperata </w:t>
      </w:r>
      <w:r>
        <w:rPr>
          <w:rFonts w:ascii="inherit" w:eastAsia="Times New Roman" w:hAnsi="inherit" w:cs="Times New Roman"/>
          <w:color w:val="333333"/>
          <w:lang w:eastAsia="it-IT"/>
        </w:rPr>
        <w:t>l'Iva assolta all'atto dell'acquisto, la cui cessione esente non deve provocare un ulteriore effetto di indetraibilità. </w:t>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Ottenuta la percentuale di detraibilità </w:t>
      </w:r>
      <w:r>
        <w:rPr>
          <w:rFonts w:ascii="inherit" w:eastAsia="Times New Roman" w:hAnsi="inherit" w:cs="Times New Roman"/>
          <w:color w:val="333333"/>
          <w:lang w:eastAsia="it-IT"/>
        </w:rPr>
        <w:t>dell'imposta, bisogna sommare il risultato così ottenuto all'importo dell'IVA risultante sugli acquisti. Viene così determinato l'importo dell'IVA detraibile.</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0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2014-12-02T12:27:00Z</dcterms:created>
  <dcterms:modified xsi:type="dcterms:W3CDTF">2014-12-02T12:29:00Z</dcterms:modified>
</cp:coreProperties>
</file>