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outlineLvl w:val="4"/>
        <w:rPr>
          <w:rFonts w:ascii="Lucida Sans" w:eastAsia="Times New Roman" w:hAnsi="Lucida Sans" w:cs="Times New Roman"/>
          <w:b/>
          <w:bCs/>
          <w:color w:val="333333"/>
          <w:sz w:val="15"/>
          <w:szCs w:val="15"/>
          <w:lang w:eastAsia="it-IT"/>
        </w:rPr>
      </w:pPr>
      <w:r>
        <w:rPr>
          <w:rFonts w:ascii="Lucida Sans" w:eastAsia="Times New Roman" w:hAnsi="Lucida Sans" w:cs="Times New Roman"/>
          <w:b/>
          <w:bCs/>
          <w:color w:val="333333"/>
          <w:sz w:val="15"/>
          <w:szCs w:val="15"/>
          <w:lang w:eastAsia="it-IT"/>
        </w:rPr>
        <w:t>29 Ottobre 2014</w:t>
      </w:r>
    </w:p>
    <w:p>
      <w:pPr>
        <w:shd w:val="clear" w:color="auto" w:fill="FFFFFF"/>
        <w:spacing w:after="0" w:line="240" w:lineRule="auto"/>
        <w:jc w:val="center"/>
        <w:outlineLvl w:val="0"/>
        <w:rPr>
          <w:rFonts w:ascii="Lucida Sans" w:eastAsia="Times New Roman" w:hAnsi="Lucida Sans" w:cs="Times New Roman"/>
          <w:b/>
          <w:bCs/>
          <w:color w:val="990033"/>
          <w:kern w:val="36"/>
          <w:sz w:val="28"/>
          <w:szCs w:val="28"/>
          <w:lang w:eastAsia="it-IT"/>
        </w:rPr>
      </w:pPr>
    </w:p>
    <w:p>
      <w:pPr>
        <w:shd w:val="clear" w:color="auto" w:fill="FFFFFF"/>
        <w:spacing w:after="0" w:line="240" w:lineRule="auto"/>
        <w:jc w:val="center"/>
        <w:outlineLvl w:val="0"/>
        <w:rPr>
          <w:rFonts w:ascii="Lucida Sans" w:eastAsia="Times New Roman" w:hAnsi="Lucida Sans" w:cs="Times New Roman"/>
          <w:b/>
          <w:bCs/>
          <w:color w:val="990033"/>
          <w:kern w:val="36"/>
          <w:sz w:val="28"/>
          <w:szCs w:val="28"/>
          <w:lang w:eastAsia="it-IT"/>
        </w:rPr>
      </w:pPr>
      <w:bookmarkStart w:id="0" w:name="_GoBack"/>
      <w:bookmarkEnd w:id="0"/>
      <w:r>
        <w:rPr>
          <w:rFonts w:ascii="Lucida Sans" w:eastAsia="Times New Roman" w:hAnsi="Lucida Sans" w:cs="Times New Roman"/>
          <w:b/>
          <w:bCs/>
          <w:color w:val="990033"/>
          <w:kern w:val="36"/>
          <w:sz w:val="28"/>
          <w:szCs w:val="28"/>
          <w:lang w:eastAsia="it-IT"/>
        </w:rPr>
        <w:t>Auto a uso privato: comunicazione alla motorizzazione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Lucida Sans" w:eastAsia="Times New Roman" w:hAnsi="Lucida Sans" w:cs="Times New Roman"/>
          <w:color w:val="005292"/>
          <w:sz w:val="28"/>
          <w:szCs w:val="28"/>
          <w:lang w:eastAsia="it-IT"/>
        </w:rPr>
      </w:pPr>
      <w:r>
        <w:rPr>
          <w:rFonts w:ascii="Lucida Sans" w:eastAsia="Times New Roman" w:hAnsi="Lucida Sans" w:cs="Times New Roman"/>
          <w:color w:val="005292"/>
          <w:sz w:val="28"/>
          <w:szCs w:val="28"/>
          <w:lang w:eastAsia="it-IT"/>
        </w:rPr>
        <w:t>Con una circolare la motorizzazione precisa gli obblighi per le aziende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Lucida Sans" w:eastAsia="Times New Roman" w:hAnsi="Lucida Sans" w:cs="Times New Roman"/>
          <w:color w:val="005292"/>
          <w:sz w:val="28"/>
          <w:szCs w:val="28"/>
          <w:lang w:eastAsia="it-IT"/>
        </w:rPr>
      </w:pPr>
    </w:p>
    <w:p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Premessa –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 Per le aziende l’obbligo ex art. 94 c. 4-bis D.Lgs.285/92 di registrare alla Motorizzazione civile e annotare sulla carta di circolazione il nome del soggetto diverso dall’intestatario che dispone del veicolo per più di 30 giorni non scatterà se l’auto aziendale è in uso come fringe benefit o come mezzo di servizio (anche solo parzialmente). Questo è quanto chiarito dalla circolare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prot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. n. 23743, emanata dalla direzione generale della Motorizzazione (divisione 5) lunedì 27 ottobre.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Obbligo -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 Con la Legge n. 120/2010 è stata riformata la disciplina del Codice della strada, contenuta nel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D.Lgs.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 n. 285/92. In particolare l’art. 12, comma 1 della citata Legge ha introdotto all’art. 94 del predetto Decreto, il nuovo comma 4-bis che prevede, in capo all’utilizzatore, l’obbligo di comunicare alla Motorizzazione, richiedendo l’aggiornamento della carta di circolazione, gli eventi che comportino variazioni dell’intestatario della carta di circolazione e della disponibilità del veicolo per periodi superiori a 30 giorni, in favore di soggetti diversi dall’intestatario.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Circolare motorizzazione –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 Tale obbligo scatterà tra pochi giorni (più precisamente, il prossimo 3 novembre). Nel caso dei rapporti tra società, soci e dipendenti, la questione diventa più complessa. Così, la Motorizzazione è intervenuta lunedì 27 ottobre con una circolare di chiarimento (circolare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prot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. n. 23743).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br/>
        <w:t>Auto aziendali –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Al riguardo è necessario preliminarmente ricordare che le casistiche che si possono verificare in una azienda sono le seguenti: concessione al dipendente/amministratore di un veicolo per uso esclusivamente aziendale; uso esclusivamente personale; uso sia ai fini aziendali sia ai fini personali (uso “promiscuo”). L’uso del veicolo aziendale per finalità miste, personali e aziendali, origina un cosiddetto fringe benefit, vale a dire una retribuzione in natura da valorizzare opportunamente e sottoporre a tassazione in capo al dipendente/amministratore che ne beneficia.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Chiarimenti –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 Circa gli obblighi di comunicazione della auto in comodato la circolare in oggetto ha chiarito che il comodato (quindi l’obbligo di comunicazione) sussiste quando c’è un utilizzo “esclusivo e personale” e “a titolo gratuito” dell’auto. Il che è escluso nel caso del fringe benefit (qui non c'è la gratuità, essendo una retribuzione in natura) né in quello del mezzo di servizio condiviso tra più dipendenti né nell'utilizzo promiscuo.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Scadenza -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 Alla scadenza del comodato, non sono necessarie ulteriori dichiarazioni o annotazioni, in quanto si presume che il veicolo rientri nella disponibilità dell’azienda, che comunque sarà tenuta a farne comunicazione alla Motorizzazione solo in caso di cessazione anticipata. Ma, se entro 30 giorni da tale interruzione affida il veicolo a un’altra persona, basta annotarne il nome, senza registrare la cancellazione dell’utilizzatore precedente.</w:t>
      </w:r>
    </w:p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2014-10-29T16:54:00Z</dcterms:created>
  <dcterms:modified xsi:type="dcterms:W3CDTF">2014-10-29T16:55:00Z</dcterms:modified>
</cp:coreProperties>
</file>