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0"/>
        <w:rPr>
          <w:rFonts w:ascii="Lucida Sans" w:eastAsia="Times New Roman" w:hAnsi="Lucida Sans" w:cs="Times New Roman"/>
          <w:b/>
          <w:bCs/>
          <w:color w:val="990033"/>
          <w:kern w:val="36"/>
          <w:sz w:val="28"/>
          <w:szCs w:val="28"/>
          <w:lang w:eastAsia="it-IT"/>
        </w:rPr>
      </w:pPr>
      <w:r>
        <w:rPr>
          <w:rFonts w:ascii="Lucida Sans" w:eastAsia="Times New Roman" w:hAnsi="Lucida Sans" w:cs="Times New Roman"/>
          <w:b/>
          <w:bCs/>
          <w:color w:val="990033"/>
          <w:kern w:val="36"/>
          <w:sz w:val="28"/>
          <w:szCs w:val="28"/>
          <w:lang w:eastAsia="it-IT"/>
        </w:rPr>
        <w:t>Trasferimenti all’estero nel 2013: da valutare la residenza fiscale</w:t>
      </w:r>
    </w:p>
    <w:p>
      <w:pPr>
        <w:shd w:val="clear" w:color="auto" w:fill="FFFFFF"/>
        <w:spacing w:after="0" w:line="240" w:lineRule="auto"/>
        <w:jc w:val="center"/>
        <w:outlineLvl w:val="0"/>
        <w:rPr>
          <w:rFonts w:ascii="Lucida Sans" w:eastAsia="Times New Roman" w:hAnsi="Lucida Sans" w:cs="Times New Roman"/>
          <w:b/>
          <w:bCs/>
          <w:color w:val="990033"/>
          <w:kern w:val="36"/>
          <w:sz w:val="28"/>
          <w:szCs w:val="28"/>
          <w:lang w:eastAsia="it-IT"/>
        </w:rPr>
      </w:pPr>
    </w:p>
    <w:p>
      <w:pPr>
        <w:shd w:val="clear" w:color="auto" w:fill="FFFFFF"/>
        <w:spacing w:after="0" w:line="240" w:lineRule="auto"/>
        <w:jc w:val="center"/>
      </w:pPr>
      <w:r>
        <w:rPr>
          <w:rFonts w:ascii="inherit" w:eastAsia="Times New Roman" w:hAnsi="inherit" w:cs="Times New Roman"/>
          <w:color w:val="333333"/>
          <w:lang w:eastAsia="it-IT"/>
        </w:rPr>
        <w:t>I dati diffusi dall’AIRE (</w:t>
      </w:r>
      <w:r>
        <w:rPr>
          <w:rFonts w:ascii="inherit" w:eastAsia="Times New Roman" w:hAnsi="inherit" w:cs="Times New Roman"/>
          <w:b/>
          <w:bCs/>
          <w:color w:val="333333"/>
          <w:bdr w:val="none" w:sz="0" w:space="0" w:color="auto" w:frame="1"/>
          <w:lang w:eastAsia="it-IT"/>
        </w:rPr>
        <w:t>Anagrafe Italiani Residenti all’estero</w:t>
      </w:r>
      <w:r>
        <w:rPr>
          <w:rFonts w:ascii="inherit" w:eastAsia="Times New Roman" w:hAnsi="inherit" w:cs="Times New Roman"/>
          <w:color w:val="333333"/>
          <w:lang w:eastAsia="it-IT"/>
        </w:rPr>
        <w:t>) evidenziano l’incremento del flusso emigratorio dall'Italia nel mondo: le mete più gettonate, secondo i dati AIRE, sono il Regno Unito, la Germania e la Svizzera. Nella stragrande maggioranza dei casi, il trasferimento di residenza all’estero ha come obiettivo la ricerca di nuove e più vantaggiose opportunità lavorative. </w:t>
      </w:r>
      <w:r>
        <w:rPr>
          <w:rFonts w:ascii="inherit" w:eastAsia="Times New Roman" w:hAnsi="inherit" w:cs="Times New Roman"/>
          <w:color w:val="333333"/>
          <w:lang w:eastAsia="it-IT"/>
        </w:rPr>
        <w:br/>
        <w:t>In alcuni (e isolati) casi, il trasferimento della residenza all’estero rappresenta una facile scorciatoia per sottrarre i propri redditi al gravoso fisco italiano. Tale fattispecie costituisce una delle principali tipologie </w:t>
      </w:r>
      <w:r>
        <w:rPr>
          <w:rFonts w:ascii="inherit" w:eastAsia="Times New Roman" w:hAnsi="inherit" w:cs="Times New Roman"/>
          <w:b/>
          <w:bCs/>
          <w:color w:val="333333"/>
          <w:bdr w:val="none" w:sz="0" w:space="0" w:color="auto" w:frame="1"/>
          <w:lang w:eastAsia="it-IT"/>
        </w:rPr>
        <w:t>di evasione fiscale internazionale</w:t>
      </w:r>
      <w:r>
        <w:rPr>
          <w:rFonts w:ascii="inherit" w:eastAsia="Times New Roman" w:hAnsi="inherit" w:cs="Times New Roman"/>
          <w:color w:val="333333"/>
          <w:lang w:eastAsia="it-IT"/>
        </w:rPr>
        <w:t>, così come sottolineato dall’Amministrazione Finanziaria nella C.M. 25/E/2013. </w:t>
      </w:r>
      <w:r>
        <w:rPr>
          <w:rFonts w:ascii="inherit" w:eastAsia="Times New Roman" w:hAnsi="inherit" w:cs="Times New Roman"/>
          <w:color w:val="333333"/>
          <w:lang w:eastAsia="it-IT"/>
        </w:rPr>
        <w:br/>
        <w:t>Tralasciando l’analisi del trasferimento fittizio all’estero per mere ragioni fiscali, in tale sede si vogliono evidenziare le criticità fiscali che spesso riscontrano le persone fisiche che effettivamente si trasferiscono all’estero in cerca di fortuna o semplicemente di qualche opportunità lavorativa. </w:t>
      </w:r>
      <w:r>
        <w:rPr>
          <w:rFonts w:ascii="inherit" w:eastAsia="Times New Roman" w:hAnsi="inherit" w:cs="Times New Roman"/>
          <w:color w:val="333333"/>
          <w:lang w:eastAsia="it-IT"/>
        </w:rPr>
        <w:br/>
        <w:t>Generalmente, le persone fisiche che trasferiscono la residenza all’estero credono di interrompere i rapporti con il fisco italiano per i redditi prodotti nel Paese estero. Ma non è sempre così. </w:t>
      </w:r>
      <w:r>
        <w:rPr>
          <w:rFonts w:ascii="inherit" w:eastAsia="Times New Roman" w:hAnsi="inherit" w:cs="Times New Roman"/>
          <w:color w:val="333333"/>
          <w:lang w:eastAsia="it-IT"/>
        </w:rPr>
        <w:br/>
        <w:t>In tali situazioni bisogna attentamente valutare la propria </w:t>
      </w:r>
      <w:r>
        <w:rPr>
          <w:rFonts w:ascii="inherit" w:eastAsia="Times New Roman" w:hAnsi="inherit" w:cs="Times New Roman"/>
          <w:b/>
          <w:bCs/>
          <w:color w:val="333333"/>
          <w:bdr w:val="none" w:sz="0" w:space="0" w:color="auto" w:frame="1"/>
          <w:lang w:eastAsia="it-IT"/>
        </w:rPr>
        <w:t>residenza fiscale</w:t>
      </w:r>
      <w:r>
        <w:rPr>
          <w:rFonts w:ascii="inherit" w:eastAsia="Times New Roman" w:hAnsi="inherit" w:cs="Times New Roman"/>
          <w:color w:val="333333"/>
          <w:lang w:eastAsia="it-IT"/>
        </w:rPr>
        <w:t>, che determina diversi obblighi impositivi e dichiarativi a seconda che l’interessato, successivamente al proprio effettivo trasferimento, si qualifichi come fiscalmente residente in Italia o, invece, come soggetto non residente in Italia. </w:t>
      </w:r>
      <w:r>
        <w:rPr>
          <w:rFonts w:ascii="inherit" w:eastAsia="Times New Roman" w:hAnsi="inherit" w:cs="Times New Roman"/>
          <w:color w:val="333333"/>
          <w:lang w:eastAsia="it-IT"/>
        </w:rPr>
        <w:br/>
        <w:t xml:space="preserve"> Più in dettaglio: </w:t>
      </w:r>
      <w:r>
        <w:rPr>
          <w:rFonts w:ascii="inherit" w:eastAsia="Times New Roman" w:hAnsi="inherit" w:cs="Times New Roman"/>
          <w:color w:val="333333"/>
          <w:lang w:eastAsia="it-IT"/>
        </w:rPr>
        <w:br/>
        <w:t>• i soggetti residenti sono tassati sui redditi ovunque prodotti (anche dunque quelli prodotti all’estero); </w:t>
      </w:r>
      <w:r>
        <w:rPr>
          <w:rFonts w:ascii="inherit" w:eastAsia="Times New Roman" w:hAnsi="inherit" w:cs="Times New Roman"/>
          <w:color w:val="333333"/>
          <w:lang w:eastAsia="it-IT"/>
        </w:rPr>
        <w:br/>
        <w:t>• i soggetti non residenti in Italia sono tassati esclusivamente sui redditi prodotti in Italia.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Ne deriva che solo qualora il soggetto si qualifichi come soggetto non residente in Italia ai fini fiscali, non dovrà tassare e dichiarare in Italia i redditi prodotti all’estero. Inoltre, si ricorda che solo i soggetti fiscalmente residenti in Italia sono tenuti al pagamento dell’IVIE (imposta sul valore degli immobili esteri) e agli obblighi relativi al monitoraggio fiscale (quadro RW).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Per tali questioni, è importante dedicare attenzione alla definizione puntuale della residenza fiscale.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 xml:space="preserve">Nel nostro ordinamento la residenza delle persone fisiche è puntualmente disciplinata dall’art. 2 del </w:t>
      </w:r>
      <w:proofErr w:type="spellStart"/>
      <w:r>
        <w:rPr>
          <w:rFonts w:ascii="inherit" w:eastAsia="Times New Roman" w:hAnsi="inherit" w:cs="Times New Roman"/>
          <w:color w:val="333333"/>
          <w:lang w:eastAsia="it-IT"/>
        </w:rPr>
        <w:t>Tuir</w:t>
      </w:r>
      <w:proofErr w:type="spellEnd"/>
      <w:r>
        <w:rPr>
          <w:rFonts w:ascii="inherit" w:eastAsia="Times New Roman" w:hAnsi="inherit" w:cs="Times New Roman"/>
          <w:color w:val="333333"/>
          <w:lang w:eastAsia="it-IT"/>
        </w:rPr>
        <w:t>. </w:t>
      </w:r>
      <w:r>
        <w:rPr>
          <w:rFonts w:ascii="inherit" w:eastAsia="Times New Roman" w:hAnsi="inherit" w:cs="Times New Roman"/>
          <w:color w:val="333333"/>
          <w:lang w:eastAsia="it-IT"/>
        </w:rPr>
        <w:br/>
        <w:t>In base a tale norma, la “qualifica” di soggetto fiscalmente residente in Italia avviene quando lo stesso, per</w:t>
      </w:r>
      <w:r>
        <w:rPr>
          <w:rFonts w:ascii="inherit" w:eastAsia="Times New Roman" w:hAnsi="inherit" w:cs="Times New Roman"/>
          <w:color w:val="333333"/>
          <w:u w:val="single"/>
          <w:lang w:eastAsia="it-IT"/>
        </w:rPr>
        <w:t>la maggior parte del periodo di imposta</w:t>
      </w:r>
      <w:r>
        <w:rPr>
          <w:rFonts w:ascii="inherit" w:eastAsia="Times New Roman" w:hAnsi="inherit" w:cs="Times New Roman"/>
          <w:color w:val="333333"/>
          <w:lang w:eastAsia="it-IT"/>
        </w:rPr>
        <w:t>, è in possesso di </w:t>
      </w:r>
      <w:r>
        <w:rPr>
          <w:rFonts w:ascii="inherit" w:eastAsia="Times New Roman" w:hAnsi="inherit" w:cs="Times New Roman"/>
          <w:b/>
          <w:bCs/>
          <w:color w:val="333333"/>
          <w:bdr w:val="none" w:sz="0" w:space="0" w:color="auto" w:frame="1"/>
          <w:lang w:eastAsia="it-IT"/>
        </w:rPr>
        <w:t>uno</w:t>
      </w:r>
      <w:r>
        <w:rPr>
          <w:rFonts w:ascii="inherit" w:eastAsia="Times New Roman" w:hAnsi="inherit" w:cs="Times New Roman"/>
          <w:color w:val="333333"/>
          <w:lang w:eastAsia="it-IT"/>
        </w:rPr>
        <w:t> dei seguenti requisiti: </w:t>
      </w:r>
      <w:r>
        <w:rPr>
          <w:rFonts w:ascii="inherit" w:eastAsia="Times New Roman" w:hAnsi="inherit" w:cs="Times New Roman"/>
          <w:color w:val="333333"/>
          <w:lang w:eastAsia="it-IT"/>
        </w:rPr>
        <w:br/>
        <w:t>• iscrizione alle liste anagrafiche della popolazione residente; </w:t>
      </w:r>
      <w:r>
        <w:rPr>
          <w:rFonts w:ascii="inherit" w:eastAsia="Times New Roman" w:hAnsi="inherit" w:cs="Times New Roman"/>
          <w:color w:val="333333"/>
          <w:lang w:eastAsia="it-IT"/>
        </w:rPr>
        <w:br/>
        <w:t>• domicilio nel territorio dello Stato; </w:t>
      </w:r>
      <w:r>
        <w:rPr>
          <w:rFonts w:ascii="inherit" w:eastAsia="Times New Roman" w:hAnsi="inherit" w:cs="Times New Roman"/>
          <w:color w:val="333333"/>
          <w:lang w:eastAsia="it-IT"/>
        </w:rPr>
        <w:br/>
        <w:t>• residenza nel territorio dello Stato.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In primo luogo è necessario evidenziare che il trasferimento all’estero, </w:t>
      </w:r>
      <w:r>
        <w:rPr>
          <w:rFonts w:ascii="inherit" w:eastAsia="Times New Roman" w:hAnsi="inherit" w:cs="Times New Roman"/>
          <w:b/>
          <w:bCs/>
          <w:color w:val="333333"/>
          <w:bdr w:val="none" w:sz="0" w:space="0" w:color="auto" w:frame="1"/>
          <w:lang w:eastAsia="it-IT"/>
        </w:rPr>
        <w:t>senza iscrizione all’AIRE</w:t>
      </w:r>
      <w:r>
        <w:rPr>
          <w:rFonts w:ascii="inherit" w:eastAsia="Times New Roman" w:hAnsi="inherit" w:cs="Times New Roman"/>
          <w:color w:val="333333"/>
          <w:lang w:eastAsia="it-IT"/>
        </w:rPr>
        <w:t> (e relativa cancellazione dalle liste anagrafiche della popolazione residente), </w:t>
      </w:r>
      <w:r>
        <w:rPr>
          <w:rFonts w:ascii="inherit" w:eastAsia="Times New Roman" w:hAnsi="inherit" w:cs="Times New Roman"/>
          <w:b/>
          <w:bCs/>
          <w:color w:val="333333"/>
          <w:bdr w:val="none" w:sz="0" w:space="0" w:color="auto" w:frame="1"/>
          <w:lang w:eastAsia="it-IT"/>
        </w:rPr>
        <w:t>è condizione sufficiente per determinare la residenza fiscale in Italia</w:t>
      </w:r>
      <w:r>
        <w:rPr>
          <w:rFonts w:ascii="inherit" w:eastAsia="Times New Roman" w:hAnsi="inherit" w:cs="Times New Roman"/>
          <w:color w:val="333333"/>
          <w:lang w:eastAsia="it-IT"/>
        </w:rPr>
        <w:t>. </w:t>
      </w:r>
      <w:r>
        <w:rPr>
          <w:rFonts w:ascii="inherit" w:eastAsia="Times New Roman" w:hAnsi="inherit" w:cs="Times New Roman"/>
          <w:color w:val="333333"/>
          <w:lang w:eastAsia="it-IT"/>
        </w:rPr>
        <w:br/>
        <w:t>Di contro, la cancellazione dall’anagrafe della popolazione residente non è condizione sufficiente per perdere lo status di ‘residente’ sotto il profilo fiscale. </w:t>
      </w:r>
      <w:r>
        <w:rPr>
          <w:rFonts w:ascii="inherit" w:eastAsia="Times New Roman" w:hAnsi="inherit" w:cs="Times New Roman"/>
          <w:color w:val="333333"/>
          <w:lang w:eastAsia="it-IT"/>
        </w:rPr>
        <w:br/>
        <w:t>Infatti, potrebbe accadere che nonostante l’iscrizione all’AIRE, sia rinvenibile in Italia il </w:t>
      </w:r>
      <w:r>
        <w:rPr>
          <w:rFonts w:ascii="inherit" w:eastAsia="Times New Roman" w:hAnsi="inherit" w:cs="Times New Roman"/>
          <w:b/>
          <w:bCs/>
          <w:color w:val="333333"/>
          <w:bdr w:val="none" w:sz="0" w:space="0" w:color="auto" w:frame="1"/>
          <w:lang w:eastAsia="it-IT"/>
        </w:rPr>
        <w:t>centro dei propri affari e interessi</w:t>
      </w:r>
      <w:r>
        <w:rPr>
          <w:rFonts w:ascii="inherit" w:eastAsia="Times New Roman" w:hAnsi="inherit" w:cs="Times New Roman"/>
          <w:color w:val="333333"/>
          <w:lang w:eastAsia="it-IT"/>
        </w:rPr>
        <w:t> (domicilio). Il domicilio consiste in una situazione giuridica che, prescindendo dalla presenza fisica del soggetto, è caratterizzata dall'elemento soggettivo, </w:t>
      </w:r>
      <w:r>
        <w:rPr>
          <w:rFonts w:ascii="inherit" w:eastAsia="Times New Roman" w:hAnsi="inherit" w:cs="Times New Roman"/>
          <w:color w:val="333333"/>
          <w:u w:val="single"/>
          <w:lang w:eastAsia="it-IT"/>
        </w:rPr>
        <w:t>cioè dalla volontà di stabilire e conservare in quel luogo la sede principale dei propri affari ed interessi</w:t>
      </w:r>
      <w:r>
        <w:rPr>
          <w:rFonts w:ascii="inherit" w:eastAsia="Times New Roman" w:hAnsi="inherit" w:cs="Times New Roman"/>
          <w:color w:val="333333"/>
          <w:lang w:eastAsia="it-IT"/>
        </w:rPr>
        <w:t>.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Il caso più spinoso è certamente quello del padre di famiglia che si trasferisce all’estero per ragioni lavorative, ma la famiglia rimane in Italia, magari per permettere ai figli di completare gli studi o perché la moglie non vuole trasferirsi. In tali casi, infatti, tendono a prevalere i rapporti familiari rispetto ai rapporti patrimoniali ed economici. </w:t>
      </w:r>
      <w:r>
        <w:rPr>
          <w:rFonts w:ascii="inherit" w:eastAsia="Times New Roman" w:hAnsi="inherit" w:cs="Times New Roman"/>
          <w:color w:val="333333"/>
          <w:lang w:eastAsia="it-IT"/>
        </w:rPr>
        <w:br/>
        <w:t>Se, come nel caso proposto, il soggetto pur lavorando all’estero mantiene la propria residenza fiscale in Italia, e nel Paese estero lo stesso soggetto viene comunque qualificato come soggetto residente, si dovrà far riferimento ai criteri previsti dalle Convenzioni contro le doppie imposizioni per stabilire in maniera univoca la residenza fiscale del soggetto, conseguentemente la necessità o meno di tassare in Italia i redditi prodotti all’estero.</w:t>
      </w:r>
      <w:bookmarkStart w:id="0" w:name="_GoBack"/>
      <w:bookmarkEnd w:id="0"/>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2014-05-13T12:42:00Z</dcterms:created>
  <dcterms:modified xsi:type="dcterms:W3CDTF">2014-05-13T12:46:00Z</dcterms:modified>
</cp:coreProperties>
</file>