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FDA" w:rsidRPr="00917FDA" w:rsidRDefault="00917FDA" w:rsidP="00917FDA">
      <w:pPr>
        <w:shd w:val="clear" w:color="auto" w:fill="FFFFFF"/>
        <w:spacing w:after="180" w:line="240" w:lineRule="auto"/>
        <w:ind w:left="1215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29"/>
          <w:szCs w:val="29"/>
          <w:lang w:eastAsia="it-IT"/>
        </w:rPr>
      </w:pPr>
      <w:r w:rsidRPr="00917FDA">
        <w:rPr>
          <w:rFonts w:ascii="Helvetica" w:eastAsia="Times New Roman" w:hAnsi="Helvetica" w:cs="Helvetica"/>
          <w:b/>
          <w:bCs/>
          <w:color w:val="444444"/>
          <w:kern w:val="36"/>
          <w:sz w:val="29"/>
          <w:szCs w:val="29"/>
          <w:lang w:eastAsia="it-IT"/>
        </w:rPr>
        <w:t>Definizione agevolata 2000/17 - Rate scadute e nuovo termine al 7 dicembre 2018</w:t>
      </w:r>
    </w:p>
    <w:p w:rsidR="00917FDA" w:rsidRPr="00917FDA" w:rsidRDefault="00917FDA" w:rsidP="00917F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3"/>
          <w:szCs w:val="23"/>
          <w:lang w:eastAsia="it-IT"/>
        </w:rPr>
      </w:pPr>
      <w:r w:rsidRPr="00917FDA">
        <w:rPr>
          <w:rFonts w:ascii="Helvetica" w:eastAsia="Times New Roman" w:hAnsi="Helvetica" w:cs="Helvetica"/>
          <w:noProof/>
          <w:color w:val="444444"/>
          <w:sz w:val="23"/>
          <w:szCs w:val="23"/>
          <w:lang w:eastAsia="it-IT"/>
        </w:rPr>
        <w:drawing>
          <wp:inline distT="0" distB="0" distL="0" distR="0" wp14:anchorId="4C61E4B1" wp14:editId="1F48AC01">
            <wp:extent cx="361950" cy="361950"/>
            <wp:effectExtent l="0" t="0" r="0" b="0"/>
            <wp:docPr id="1" name="Immagine 1" descr="https://www.agenziaentrateriscossione.gov.it/export/system/modules/it.equitalia.template.resources/resources/img/icon/domanda_aranc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genziaentrateriscossione.gov.it/export/system/modules/it.equitalia.template.resources/resources/img/icon/domanda_aranci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DA" w:rsidRPr="00917FDA" w:rsidRDefault="00917FDA" w:rsidP="00917FDA">
      <w:pPr>
        <w:shd w:val="clear" w:color="auto" w:fill="FFFFFF"/>
        <w:spacing w:line="240" w:lineRule="auto"/>
        <w:ind w:left="1215"/>
        <w:rPr>
          <w:rFonts w:ascii="Helvetica" w:eastAsia="Times New Roman" w:hAnsi="Helvetica" w:cs="Helvetica"/>
          <w:color w:val="444444"/>
          <w:sz w:val="23"/>
          <w:szCs w:val="23"/>
          <w:lang w:eastAsia="it-IT"/>
        </w:rPr>
      </w:pPr>
      <w:r w:rsidRPr="00917FDA">
        <w:rPr>
          <w:rFonts w:ascii="Helvetica" w:eastAsia="Times New Roman" w:hAnsi="Helvetica" w:cs="Helvetica"/>
          <w:color w:val="444444"/>
          <w:sz w:val="23"/>
          <w:szCs w:val="23"/>
          <w:lang w:eastAsia="it-IT"/>
        </w:rPr>
        <w:t>Hai saltato le rate della “rottamazione bis”? Entro il </w:t>
      </w:r>
      <w:r w:rsidRPr="00917FDA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it-IT"/>
        </w:rPr>
        <w:t>7 dicembre</w:t>
      </w:r>
      <w:r w:rsidRPr="00917FDA">
        <w:rPr>
          <w:rFonts w:ascii="Helvetica" w:eastAsia="Times New Roman" w:hAnsi="Helvetica" w:cs="Helvetica"/>
          <w:color w:val="444444"/>
          <w:sz w:val="23"/>
          <w:szCs w:val="23"/>
          <w:lang w:eastAsia="it-IT"/>
        </w:rPr>
        <w:t> puoi metterti in regola e ripartire! Se paghi le rate di </w:t>
      </w:r>
      <w:r w:rsidRPr="00917FDA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it-IT"/>
        </w:rPr>
        <w:t>luglio, settembre e ottobre 2018</w:t>
      </w:r>
      <w:r w:rsidRPr="00917FDA">
        <w:rPr>
          <w:rFonts w:ascii="Helvetica" w:eastAsia="Times New Roman" w:hAnsi="Helvetica" w:cs="Helvetica"/>
          <w:color w:val="444444"/>
          <w:sz w:val="23"/>
          <w:szCs w:val="23"/>
          <w:lang w:eastAsia="it-IT"/>
        </w:rPr>
        <w:t>, verrai automaticamente ammesso ai benefici della </w:t>
      </w:r>
      <w:r w:rsidRPr="00917FDA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it-IT"/>
        </w:rPr>
        <w:t>Definizione agevolata</w:t>
      </w:r>
      <w:r w:rsidRPr="00917FDA">
        <w:rPr>
          <w:rFonts w:ascii="Helvetica" w:eastAsia="Times New Roman" w:hAnsi="Helvetica" w:cs="Helvetica"/>
          <w:color w:val="444444"/>
          <w:sz w:val="23"/>
          <w:szCs w:val="23"/>
          <w:lang w:eastAsia="it-IT"/>
        </w:rPr>
        <w:t> prevista dall’art. 3 del </w:t>
      </w:r>
      <w:r w:rsidRPr="00917FDA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it-IT"/>
        </w:rPr>
        <w:t>Decreto Legge n. 119/2018</w:t>
      </w:r>
      <w:r w:rsidRPr="00917FDA">
        <w:rPr>
          <w:rFonts w:ascii="Helvetica" w:eastAsia="Times New Roman" w:hAnsi="Helvetica" w:cs="Helvetica"/>
          <w:color w:val="444444"/>
          <w:sz w:val="23"/>
          <w:szCs w:val="23"/>
          <w:lang w:eastAsia="it-IT"/>
        </w:rPr>
        <w:t> (cosiddetta “rottamazione-ter”).</w:t>
      </w:r>
    </w:p>
    <w:p w:rsidR="00917FDA" w:rsidRPr="00917FDA" w:rsidRDefault="00917FDA" w:rsidP="00917F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19"/>
          <w:szCs w:val="19"/>
          <w:lang w:eastAsia="it-IT"/>
        </w:rPr>
      </w:pPr>
      <w:r w:rsidRPr="00917FDA">
        <w:rPr>
          <w:rFonts w:ascii="Helvetica" w:eastAsia="Times New Roman" w:hAnsi="Helvetica" w:cs="Helvetica"/>
          <w:color w:val="444444"/>
          <w:sz w:val="19"/>
          <w:szCs w:val="19"/>
          <w:lang w:eastAsia="it-IT"/>
        </w:rPr>
        <w:pict>
          <v:rect id="_x0000_i1025" style="width:0;height:1.5pt" o:hralign="center" o:hrstd="t" o:hr="t" fillcolor="#a0a0a0" stroked="f"/>
        </w:pict>
      </w:r>
    </w:p>
    <w:p w:rsidR="00917FDA" w:rsidRPr="00917FDA" w:rsidRDefault="00917FDA" w:rsidP="00917FDA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444444"/>
          <w:sz w:val="23"/>
          <w:szCs w:val="23"/>
          <w:lang w:eastAsia="it-IT"/>
        </w:rPr>
      </w:pPr>
      <w:r w:rsidRPr="00917FDA">
        <w:rPr>
          <w:rFonts w:ascii="Helvetica" w:eastAsia="Times New Roman" w:hAnsi="Helvetica" w:cs="Helvetica"/>
          <w:color w:val="444444"/>
          <w:sz w:val="23"/>
          <w:szCs w:val="23"/>
          <w:lang w:eastAsia="it-IT"/>
        </w:rPr>
        <w:t>Chi ha già aderito alla Definizione agevolata prevista dal </w:t>
      </w:r>
      <w:r w:rsidRPr="00917FDA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it-IT"/>
        </w:rPr>
        <w:t>Decreto Legge n. 148/2017 </w:t>
      </w:r>
      <w:r w:rsidRPr="00917FDA">
        <w:rPr>
          <w:rFonts w:ascii="Helvetica" w:eastAsia="Times New Roman" w:hAnsi="Helvetica" w:cs="Helvetica"/>
          <w:color w:val="444444"/>
          <w:sz w:val="23"/>
          <w:szCs w:val="23"/>
          <w:lang w:eastAsia="it-IT"/>
        </w:rPr>
        <w:t>(cosiddetta “rottamazione bis”) ma non è riuscito a saldare le </w:t>
      </w:r>
      <w:r w:rsidRPr="00917FDA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it-IT"/>
        </w:rPr>
        <w:t>prime due rate </w:t>
      </w:r>
      <w:r w:rsidRPr="00917FDA">
        <w:rPr>
          <w:rFonts w:ascii="Helvetica" w:eastAsia="Times New Roman" w:hAnsi="Helvetica" w:cs="Helvetica"/>
          <w:color w:val="444444"/>
          <w:sz w:val="23"/>
          <w:szCs w:val="23"/>
          <w:lang w:eastAsia="it-IT"/>
        </w:rPr>
        <w:t>scadute a </w:t>
      </w:r>
      <w:r w:rsidRPr="00917FDA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it-IT"/>
        </w:rPr>
        <w:t>luglio</w:t>
      </w:r>
      <w:r w:rsidRPr="00917FDA">
        <w:rPr>
          <w:rFonts w:ascii="Helvetica" w:eastAsia="Times New Roman" w:hAnsi="Helvetica" w:cs="Helvetica"/>
          <w:color w:val="444444"/>
          <w:sz w:val="23"/>
          <w:szCs w:val="23"/>
          <w:lang w:eastAsia="it-IT"/>
        </w:rPr>
        <w:t> e </w:t>
      </w:r>
      <w:r w:rsidRPr="00917FDA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it-IT"/>
        </w:rPr>
        <w:t>settembre</w:t>
      </w:r>
      <w:r w:rsidRPr="00917FDA">
        <w:rPr>
          <w:rFonts w:ascii="Helvetica" w:eastAsia="Times New Roman" w:hAnsi="Helvetica" w:cs="Helvetica"/>
          <w:color w:val="444444"/>
          <w:sz w:val="23"/>
          <w:szCs w:val="23"/>
          <w:lang w:eastAsia="it-IT"/>
        </w:rPr>
        <w:t>, può regolarizzare la propria situazione entro il </w:t>
      </w:r>
      <w:r w:rsidRPr="00917FDA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it-IT"/>
        </w:rPr>
        <w:t>7 dicembre 2018</w:t>
      </w:r>
      <w:r w:rsidRPr="00917FDA">
        <w:rPr>
          <w:rFonts w:ascii="Helvetica" w:eastAsia="Times New Roman" w:hAnsi="Helvetica" w:cs="Helvetica"/>
          <w:color w:val="444444"/>
          <w:sz w:val="23"/>
          <w:szCs w:val="23"/>
          <w:lang w:eastAsia="it-IT"/>
        </w:rPr>
        <w:t>. Entro lo stesso termine dovrà essere pagata anche la rata in precedenza fissata al </w:t>
      </w:r>
      <w:r w:rsidRPr="00917FDA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it-IT"/>
        </w:rPr>
        <w:t>31 ottobre</w:t>
      </w:r>
      <w:r w:rsidRPr="00917FDA">
        <w:rPr>
          <w:rFonts w:ascii="Helvetica" w:eastAsia="Times New Roman" w:hAnsi="Helvetica" w:cs="Helvetica"/>
          <w:color w:val="444444"/>
          <w:sz w:val="23"/>
          <w:szCs w:val="23"/>
          <w:lang w:eastAsia="it-IT"/>
        </w:rPr>
        <w:t>.</w:t>
      </w:r>
    </w:p>
    <w:p w:rsidR="00917FDA" w:rsidRPr="00917FDA" w:rsidRDefault="00917FDA" w:rsidP="00917FDA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444444"/>
          <w:sz w:val="23"/>
          <w:szCs w:val="23"/>
          <w:lang w:eastAsia="it-IT"/>
        </w:rPr>
      </w:pPr>
      <w:r w:rsidRPr="00917FDA">
        <w:rPr>
          <w:rFonts w:ascii="Helvetica" w:eastAsia="Times New Roman" w:hAnsi="Helvetica" w:cs="Helvetica"/>
          <w:color w:val="444444"/>
          <w:sz w:val="23"/>
          <w:szCs w:val="23"/>
          <w:lang w:eastAsia="it-IT"/>
        </w:rPr>
        <w:t>L’art. 3 del </w:t>
      </w:r>
      <w:r w:rsidRPr="00917FDA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it-IT"/>
        </w:rPr>
        <w:t>Decreto Legge n. 119/2018</w:t>
      </w:r>
      <w:r w:rsidRPr="00917FDA">
        <w:rPr>
          <w:rFonts w:ascii="Helvetica" w:eastAsia="Times New Roman" w:hAnsi="Helvetica" w:cs="Helvetica"/>
          <w:color w:val="444444"/>
          <w:sz w:val="23"/>
          <w:szCs w:val="23"/>
          <w:lang w:eastAsia="it-IT"/>
        </w:rPr>
        <w:t> stabilisce, infatti, che i contribuenti che pagano gli importi scaduti (luglio, settembre e ottobre) </w:t>
      </w:r>
      <w:r w:rsidRPr="00917FDA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it-IT"/>
        </w:rPr>
        <w:t>entro il prossimo</w:t>
      </w:r>
      <w:r w:rsidRPr="00917FDA">
        <w:rPr>
          <w:rFonts w:ascii="Helvetica" w:eastAsia="Times New Roman" w:hAnsi="Helvetica" w:cs="Helvetica"/>
          <w:color w:val="444444"/>
          <w:sz w:val="23"/>
          <w:szCs w:val="23"/>
          <w:lang w:eastAsia="it-IT"/>
        </w:rPr>
        <w:t> </w:t>
      </w:r>
      <w:r w:rsidRPr="00917FDA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it-IT"/>
        </w:rPr>
        <w:t>7 dicembre</w:t>
      </w:r>
      <w:r w:rsidRPr="00917FDA">
        <w:rPr>
          <w:rFonts w:ascii="Helvetica" w:eastAsia="Times New Roman" w:hAnsi="Helvetica" w:cs="Helvetica"/>
          <w:color w:val="444444"/>
          <w:sz w:val="23"/>
          <w:szCs w:val="23"/>
          <w:lang w:eastAsia="it-IT"/>
        </w:rPr>
        <w:t> rientreranno </w:t>
      </w:r>
      <w:r w:rsidRPr="00917FDA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it-IT"/>
        </w:rPr>
        <w:t>automaticamente</w:t>
      </w:r>
      <w:r w:rsidRPr="00917FDA">
        <w:rPr>
          <w:rFonts w:ascii="Helvetica" w:eastAsia="Times New Roman" w:hAnsi="Helvetica" w:cs="Helvetica"/>
          <w:color w:val="444444"/>
          <w:sz w:val="23"/>
          <w:szCs w:val="23"/>
          <w:lang w:eastAsia="it-IT"/>
        </w:rPr>
        <w:t> nei benefici previsti dalla “</w:t>
      </w:r>
      <w:r w:rsidRPr="00917FDA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it-IT"/>
        </w:rPr>
        <w:t>Definizione agevolata dei carichi affidati all’Agente della riscossione”</w:t>
      </w:r>
      <w:r w:rsidRPr="00917FDA">
        <w:rPr>
          <w:rFonts w:ascii="Helvetica" w:eastAsia="Times New Roman" w:hAnsi="Helvetica" w:cs="Helvetica"/>
          <w:color w:val="444444"/>
          <w:sz w:val="23"/>
          <w:szCs w:val="23"/>
          <w:lang w:eastAsia="it-IT"/>
        </w:rPr>
        <w:t> </w:t>
      </w:r>
      <w:r w:rsidRPr="00917FDA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it-IT"/>
        </w:rPr>
        <w:t>dal 1° gennaio 2000 al 31 dicembre 2017 </w:t>
      </w:r>
      <w:r w:rsidRPr="00917FDA">
        <w:rPr>
          <w:rFonts w:ascii="Helvetica" w:eastAsia="Times New Roman" w:hAnsi="Helvetica" w:cs="Helvetica"/>
          <w:color w:val="444444"/>
          <w:sz w:val="23"/>
          <w:szCs w:val="23"/>
          <w:lang w:eastAsia="it-IT"/>
        </w:rPr>
        <w:t>(cosiddetta “rottamazione-ter”).</w:t>
      </w:r>
    </w:p>
    <w:p w:rsidR="00917FDA" w:rsidRPr="00917FDA" w:rsidRDefault="00917FDA" w:rsidP="00917FDA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444444"/>
          <w:sz w:val="23"/>
          <w:szCs w:val="23"/>
          <w:lang w:eastAsia="it-IT"/>
        </w:rPr>
      </w:pPr>
      <w:r w:rsidRPr="00917FDA">
        <w:rPr>
          <w:rFonts w:ascii="Helvetica" w:eastAsia="Times New Roman" w:hAnsi="Helvetica" w:cs="Helvetica"/>
          <w:color w:val="444444"/>
          <w:sz w:val="23"/>
          <w:szCs w:val="23"/>
          <w:lang w:eastAsia="it-IT"/>
        </w:rPr>
        <w:t>A tal fine, </w:t>
      </w:r>
      <w:r w:rsidRPr="00917FDA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it-IT"/>
        </w:rPr>
        <w:t>senza alcun ulteriore adempimento a carico dei debitori</w:t>
      </w:r>
      <w:r w:rsidRPr="00917FDA">
        <w:rPr>
          <w:rFonts w:ascii="Helvetica" w:eastAsia="Times New Roman" w:hAnsi="Helvetica" w:cs="Helvetica"/>
          <w:color w:val="444444"/>
          <w:sz w:val="23"/>
          <w:szCs w:val="23"/>
          <w:lang w:eastAsia="it-IT"/>
        </w:rPr>
        <w:t>, Agenzia delle entrate-Riscossione invierà entro il </w:t>
      </w:r>
      <w:r w:rsidRPr="00917FDA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it-IT"/>
        </w:rPr>
        <w:t>30 giugno 2019</w:t>
      </w:r>
      <w:r w:rsidRPr="00917FDA">
        <w:rPr>
          <w:rFonts w:ascii="Helvetica" w:eastAsia="Times New Roman" w:hAnsi="Helvetica" w:cs="Helvetica"/>
          <w:color w:val="444444"/>
          <w:sz w:val="23"/>
          <w:szCs w:val="23"/>
          <w:lang w:eastAsia="it-IT"/>
        </w:rPr>
        <w:t>una nuova </w:t>
      </w:r>
      <w:r w:rsidRPr="00917FDA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it-IT"/>
        </w:rPr>
        <w:t>“Comunicazione”</w:t>
      </w:r>
      <w:r w:rsidRPr="00917FDA">
        <w:rPr>
          <w:rFonts w:ascii="Helvetica" w:eastAsia="Times New Roman" w:hAnsi="Helvetica" w:cs="Helvetica"/>
          <w:color w:val="444444"/>
          <w:sz w:val="23"/>
          <w:szCs w:val="23"/>
          <w:lang w:eastAsia="it-IT"/>
        </w:rPr>
        <w:t> con il differimento dell’importo residuo da pagare relativo alla Definizione agevolata 2000/</w:t>
      </w:r>
      <w:proofErr w:type="gramStart"/>
      <w:r w:rsidRPr="00917FDA">
        <w:rPr>
          <w:rFonts w:ascii="Helvetica" w:eastAsia="Times New Roman" w:hAnsi="Helvetica" w:cs="Helvetica"/>
          <w:color w:val="444444"/>
          <w:sz w:val="23"/>
          <w:szCs w:val="23"/>
          <w:lang w:eastAsia="it-IT"/>
        </w:rPr>
        <w:t>17  (</w:t>
      </w:r>
      <w:proofErr w:type="gramEnd"/>
      <w:r w:rsidRPr="00917FDA">
        <w:rPr>
          <w:rFonts w:ascii="Helvetica" w:eastAsia="Times New Roman" w:hAnsi="Helvetica" w:cs="Helvetica"/>
          <w:color w:val="444444"/>
          <w:sz w:val="23"/>
          <w:szCs w:val="23"/>
          <w:lang w:eastAsia="it-IT"/>
        </w:rPr>
        <w:t>cosiddetta “rottamazione bis”) ripartito in </w:t>
      </w:r>
      <w:r w:rsidRPr="00917FDA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it-IT"/>
        </w:rPr>
        <w:t>10 rate di pari importo (5 anni)</w:t>
      </w:r>
      <w:r w:rsidRPr="00917FDA">
        <w:rPr>
          <w:rFonts w:ascii="Helvetica" w:eastAsia="Times New Roman" w:hAnsi="Helvetica" w:cs="Helvetica"/>
          <w:color w:val="444444"/>
          <w:sz w:val="23"/>
          <w:szCs w:val="23"/>
          <w:lang w:eastAsia="it-IT"/>
        </w:rPr>
        <w:t> con scadenza il </w:t>
      </w:r>
      <w:r w:rsidRPr="00917FDA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it-IT"/>
        </w:rPr>
        <w:t>31 luglio</w:t>
      </w:r>
      <w:r w:rsidRPr="00917FDA">
        <w:rPr>
          <w:rFonts w:ascii="Helvetica" w:eastAsia="Times New Roman" w:hAnsi="Helvetica" w:cs="Helvetica"/>
          <w:color w:val="444444"/>
          <w:sz w:val="23"/>
          <w:szCs w:val="23"/>
          <w:lang w:eastAsia="it-IT"/>
        </w:rPr>
        <w:t> e il </w:t>
      </w:r>
      <w:r w:rsidRPr="00917FDA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it-IT"/>
        </w:rPr>
        <w:t>30 novembre</w:t>
      </w:r>
      <w:r w:rsidRPr="00917FDA">
        <w:rPr>
          <w:rFonts w:ascii="Helvetica" w:eastAsia="Times New Roman" w:hAnsi="Helvetica" w:cs="Helvetica"/>
          <w:color w:val="444444"/>
          <w:sz w:val="23"/>
          <w:szCs w:val="23"/>
          <w:lang w:eastAsia="it-IT"/>
        </w:rPr>
        <w:t> di ciascun anno, a partire dal 2019. Gli interessi a decorrere dal 1° agosto 2019 saranno calcolati nella misura dello 0,3%.</w:t>
      </w:r>
    </w:p>
    <w:p w:rsidR="00943B45" w:rsidRDefault="00943B45">
      <w:bookmarkStart w:id="0" w:name="_GoBack"/>
      <w:bookmarkEnd w:id="0"/>
    </w:p>
    <w:sectPr w:rsidR="00943B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DA"/>
    <w:rsid w:val="00917FDA"/>
    <w:rsid w:val="0094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FCC27-7971-489D-BBB3-4CF24BFB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226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2018-10-26T06:19:00Z</dcterms:created>
  <dcterms:modified xsi:type="dcterms:W3CDTF">2018-10-26T06:20:00Z</dcterms:modified>
</cp:coreProperties>
</file>