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225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caps/>
          <w:color w:val="3666A4"/>
          <w:kern w:val="36"/>
          <w:sz w:val="42"/>
          <w:szCs w:val="42"/>
          <w:lang w:eastAsia="it-IT"/>
        </w:rPr>
      </w:pPr>
      <w:bookmarkStart w:id="0" w:name="_GoBack"/>
      <w:r>
        <w:rPr>
          <w:rFonts w:ascii="Helvetica" w:eastAsia="Times New Roman" w:hAnsi="Helvetica" w:cs="Helvetica"/>
          <w:caps/>
          <w:color w:val="3666A4"/>
          <w:kern w:val="36"/>
          <w:sz w:val="42"/>
          <w:szCs w:val="42"/>
          <w:lang w:eastAsia="it-IT"/>
        </w:rPr>
        <w:t>LEGGE DI STABILITÀ: ARRIVA IN G.U.</w:t>
      </w:r>
    </w:p>
    <w:p>
      <w:pPr>
        <w:shd w:val="clear" w:color="auto" w:fill="FFFFFF"/>
        <w:spacing w:after="225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color w:val="194265"/>
          <w:sz w:val="27"/>
          <w:szCs w:val="27"/>
          <w:lang w:eastAsia="it-IT"/>
        </w:rPr>
      </w:pPr>
      <w:r>
        <w:rPr>
          <w:rFonts w:ascii="Helvetica" w:eastAsia="Times New Roman" w:hAnsi="Helvetica" w:cs="Helvetica"/>
          <w:color w:val="194265"/>
          <w:sz w:val="27"/>
          <w:szCs w:val="27"/>
          <w:lang w:eastAsia="it-IT"/>
        </w:rPr>
        <w:t>Nella Serie Generale n.302 di ieri il testo definitivo della Manovra</w:t>
      </w:r>
    </w:p>
    <w:bookmarkEnd w:id="0"/>
    <w:p>
      <w:pPr>
        <w:shd w:val="clear" w:color="auto" w:fill="FFFFFF"/>
        <w:spacing w:after="0" w:line="234" w:lineRule="atLeast"/>
        <w:ind w:right="225"/>
        <w:textAlignment w:val="baseline"/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</w:pPr>
    </w:p>
    <w:p>
      <w:pPr>
        <w:shd w:val="clear" w:color="auto" w:fill="FFFFFF"/>
        <w:spacing w:after="0" w:line="207" w:lineRule="atLeast"/>
        <w:jc w:val="both"/>
        <w:textAlignment w:val="baseline"/>
        <w:rPr>
          <w:rFonts w:ascii="inherit" w:eastAsia="Times New Roman" w:hAnsi="inherit" w:cs="Times New Roman"/>
          <w:color w:val="4C4C4C"/>
          <w:sz w:val="18"/>
          <w:szCs w:val="18"/>
          <w:lang w:eastAsia="it-IT"/>
        </w:rPr>
      </w:pPr>
      <w:r>
        <w:rPr>
          <w:rFonts w:ascii="Roboto" w:eastAsia="Times New Roman" w:hAnsi="Roboto" w:cs="Times New Roman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Premessa</w:t>
      </w:r>
      <w:r>
        <w:rPr>
          <w:rFonts w:ascii="Roboto" w:eastAsia="Times New Roman" w:hAnsi="Roboto" w:cs="Times New Roman"/>
          <w:color w:val="4C4C4C"/>
          <w:sz w:val="18"/>
          <w:szCs w:val="18"/>
          <w:bdr w:val="none" w:sz="0" w:space="0" w:color="auto" w:frame="1"/>
          <w:lang w:eastAsia="it-IT"/>
        </w:rPr>
        <w:t xml:space="preserve"> – Pubblicata nella GU Serie Generale n. 302 del 30-12-2015 - </w:t>
      </w:r>
      <w:proofErr w:type="spellStart"/>
      <w:r>
        <w:rPr>
          <w:rFonts w:ascii="Roboto" w:eastAsia="Times New Roman" w:hAnsi="Roboto" w:cs="Times New Roman"/>
          <w:color w:val="4C4C4C"/>
          <w:sz w:val="18"/>
          <w:szCs w:val="18"/>
          <w:bdr w:val="none" w:sz="0" w:space="0" w:color="auto" w:frame="1"/>
          <w:lang w:eastAsia="it-IT"/>
        </w:rPr>
        <w:t>Suppl</w:t>
      </w:r>
      <w:proofErr w:type="spellEnd"/>
      <w:r>
        <w:rPr>
          <w:rFonts w:ascii="Roboto" w:eastAsia="Times New Roman" w:hAnsi="Roboto" w:cs="Times New Roman"/>
          <w:color w:val="4C4C4C"/>
          <w:sz w:val="18"/>
          <w:szCs w:val="18"/>
          <w:bdr w:val="none" w:sz="0" w:space="0" w:color="auto" w:frame="1"/>
          <w:lang w:eastAsia="it-IT"/>
        </w:rPr>
        <w:t>. Ordinario n. 70 la Legge 28 dicembre 2015, n. 208 - Disposizioni per la formazione del bilancio annuale e pluriennale dello Stato (legge di stabilità 2016).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</w:pPr>
      <w:r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  <w:br/>
      </w:r>
    </w:p>
    <w:p>
      <w:pPr>
        <w:shd w:val="clear" w:color="auto" w:fill="FFFFFF"/>
        <w:spacing w:after="0" w:line="207" w:lineRule="atLeast"/>
        <w:jc w:val="both"/>
        <w:textAlignment w:val="baseline"/>
        <w:rPr>
          <w:rFonts w:ascii="inherit" w:eastAsia="Times New Roman" w:hAnsi="inherit" w:cs="Times New Roman"/>
          <w:color w:val="4C4C4C"/>
          <w:sz w:val="18"/>
          <w:szCs w:val="18"/>
          <w:lang w:eastAsia="it-IT"/>
        </w:rPr>
      </w:pPr>
      <w:r>
        <w:rPr>
          <w:rFonts w:ascii="Roboto" w:eastAsia="Times New Roman" w:hAnsi="Roboto" w:cs="Times New Roman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Il testo</w:t>
      </w:r>
      <w:r>
        <w:rPr>
          <w:rFonts w:ascii="Roboto" w:eastAsia="Times New Roman" w:hAnsi="Roboto" w:cs="Times New Roman"/>
          <w:color w:val="4C4C4C"/>
          <w:sz w:val="18"/>
          <w:szCs w:val="18"/>
          <w:bdr w:val="none" w:sz="0" w:space="0" w:color="auto" w:frame="1"/>
          <w:lang w:eastAsia="it-IT"/>
        </w:rPr>
        <w:t> – Il testo della Legge di Stabilità 2016 si compone di un articolo unico e 999 commi. I commi sono divisi in cinque parti: commi 1-225 (parte 1); commi 226-472 (parte 2); commi 473-713 (parte 3); commi 714-962 (parte 4); commi 963-999 (parte 5). Confermati tutti i provvedimenti già commentanti in questi giorni.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</w:pPr>
      <w:r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  <w:br/>
      </w:r>
    </w:p>
    <w:p>
      <w:pPr>
        <w:shd w:val="clear" w:color="auto" w:fill="FFFFFF"/>
        <w:spacing w:after="0" w:line="207" w:lineRule="atLeast"/>
        <w:jc w:val="both"/>
        <w:textAlignment w:val="baseline"/>
        <w:rPr>
          <w:rFonts w:ascii="inherit" w:eastAsia="Times New Roman" w:hAnsi="inherit" w:cs="Times New Roman"/>
          <w:color w:val="4C4C4C"/>
          <w:sz w:val="18"/>
          <w:szCs w:val="18"/>
          <w:lang w:eastAsia="it-IT"/>
        </w:rPr>
      </w:pPr>
      <w:r>
        <w:rPr>
          <w:rFonts w:ascii="Roboto" w:eastAsia="Times New Roman" w:hAnsi="Roboto" w:cs="Times New Roman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Tasi</w:t>
      </w:r>
      <w:r>
        <w:rPr>
          <w:rFonts w:ascii="Roboto" w:eastAsia="Times New Roman" w:hAnsi="Roboto" w:cs="Times New Roman"/>
          <w:color w:val="4C4C4C"/>
          <w:sz w:val="18"/>
          <w:szCs w:val="18"/>
          <w:bdr w:val="none" w:sz="0" w:space="0" w:color="auto" w:frame="1"/>
          <w:lang w:eastAsia="it-IT"/>
        </w:rPr>
        <w:t> - Eliminazione della TASI per i proprietari e per gli inquilini sugli immobili residenziali adibiti ad abitazione principale, ad eccezione delle abitazioni di lusso; la casa assegnata al coniuge in caso di separazione o divorzio per gli immobili sarà assimilata alla all'abitazione principale; per gli immobili locati a canone concordato l'IMU e la TASI sono ridotte del 25%. Per immobili concessi in comodato a genitori o figli è prevista la riduzione del 50% della base imponibile IMU (il beneficio vale anche per la seconda casa posseduta nello stesso comune adibita ad abitazione principale).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</w:pPr>
      <w:r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  <w:br/>
      </w:r>
    </w:p>
    <w:p>
      <w:pPr>
        <w:shd w:val="clear" w:color="auto" w:fill="FFFFFF"/>
        <w:spacing w:after="0" w:line="207" w:lineRule="atLeast"/>
        <w:jc w:val="both"/>
        <w:textAlignment w:val="baseline"/>
        <w:rPr>
          <w:rFonts w:ascii="inherit" w:eastAsia="Times New Roman" w:hAnsi="inherit" w:cs="Times New Roman"/>
          <w:color w:val="4C4C4C"/>
          <w:sz w:val="18"/>
          <w:szCs w:val="18"/>
          <w:lang w:eastAsia="it-IT"/>
        </w:rPr>
      </w:pPr>
      <w:r>
        <w:rPr>
          <w:rFonts w:ascii="Roboto" w:eastAsia="Times New Roman" w:hAnsi="Roboto" w:cs="Times New Roman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Super ammortamento</w:t>
      </w:r>
      <w:r>
        <w:rPr>
          <w:rFonts w:ascii="Roboto" w:eastAsia="Times New Roman" w:hAnsi="Roboto" w:cs="Times New Roman"/>
          <w:color w:val="4C4C4C"/>
          <w:sz w:val="18"/>
          <w:szCs w:val="18"/>
          <w:bdr w:val="none" w:sz="0" w:space="0" w:color="auto" w:frame="1"/>
          <w:lang w:eastAsia="it-IT"/>
        </w:rPr>
        <w:t> – Confermato per imprese e professionisti l’ammortamento del 140% per beni materiali strumentali nuovi acquistati dal 15 ottobre 2015 al 31 dicembre 2016.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</w:pPr>
      <w:r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  <w:br/>
      </w:r>
    </w:p>
    <w:p>
      <w:pPr>
        <w:shd w:val="clear" w:color="auto" w:fill="FFFFFF"/>
        <w:spacing w:after="0" w:line="207" w:lineRule="atLeast"/>
        <w:jc w:val="both"/>
        <w:textAlignment w:val="baseline"/>
        <w:rPr>
          <w:rFonts w:ascii="inherit" w:eastAsia="Times New Roman" w:hAnsi="inherit" w:cs="Times New Roman"/>
          <w:color w:val="4C4C4C"/>
          <w:sz w:val="18"/>
          <w:szCs w:val="18"/>
          <w:lang w:eastAsia="it-IT"/>
        </w:rPr>
      </w:pPr>
      <w:r>
        <w:rPr>
          <w:rFonts w:ascii="Roboto" w:eastAsia="Times New Roman" w:hAnsi="Roboto" w:cs="Times New Roman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Canone Rai in bolletta</w:t>
      </w:r>
      <w:r>
        <w:rPr>
          <w:rFonts w:ascii="Roboto" w:eastAsia="Times New Roman" w:hAnsi="Roboto" w:cs="Times New Roman"/>
          <w:color w:val="4C4C4C"/>
          <w:sz w:val="18"/>
          <w:szCs w:val="18"/>
          <w:bdr w:val="none" w:sz="0" w:space="0" w:color="auto" w:frame="1"/>
          <w:lang w:eastAsia="it-IT"/>
        </w:rPr>
        <w:t> – Confermata anche la misura che punta a ridurre l’evasione della “tassa” sul servizio radiotelevisivo e la riduzione dell’importo del canone che passa da 113,50 a 100 euro. Il pagamento avverrà dunque con addebito sulle fatture emesse dalle aziende di distribuzione di energia elettrica e sarà diviso in 10 rate mensili tra gennaio e ottobre.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</w:pPr>
      <w:r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  <w:br/>
      </w:r>
    </w:p>
    <w:p>
      <w:pPr>
        <w:shd w:val="clear" w:color="auto" w:fill="FFFFFF"/>
        <w:spacing w:after="0" w:line="207" w:lineRule="atLeast"/>
        <w:jc w:val="both"/>
        <w:textAlignment w:val="baseline"/>
        <w:rPr>
          <w:rFonts w:ascii="inherit" w:eastAsia="Times New Roman" w:hAnsi="inherit" w:cs="Times New Roman"/>
          <w:color w:val="4C4C4C"/>
          <w:sz w:val="18"/>
          <w:szCs w:val="18"/>
          <w:lang w:eastAsia="it-IT"/>
        </w:rPr>
      </w:pPr>
      <w:r>
        <w:rPr>
          <w:rFonts w:ascii="Roboto" w:eastAsia="Times New Roman" w:hAnsi="Roboto" w:cs="Times New Roman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Limite al contante</w:t>
      </w:r>
      <w:r>
        <w:rPr>
          <w:rFonts w:ascii="Roboto" w:eastAsia="Times New Roman" w:hAnsi="Roboto" w:cs="Times New Roman"/>
          <w:color w:val="4C4C4C"/>
          <w:sz w:val="18"/>
          <w:szCs w:val="18"/>
          <w:bdr w:val="none" w:sz="0" w:space="0" w:color="auto" w:frame="1"/>
          <w:lang w:eastAsia="it-IT"/>
        </w:rPr>
        <w:t xml:space="preserve"> - Dal prossimo 1° gennaio sarà possibile pagare in contanti fino a 2.999,99 euro. Nel passaggio in Senato della Manovra è stato previsto, però, che il limite dei mille euro resti per chi esercita il servizio di rimessa di denaro con l’estero, più comunemente conosciuti come </w:t>
      </w:r>
      <w:proofErr w:type="spellStart"/>
      <w:r>
        <w:rPr>
          <w:rFonts w:ascii="Roboto" w:eastAsia="Times New Roman" w:hAnsi="Roboto" w:cs="Times New Roman"/>
          <w:color w:val="4C4C4C"/>
          <w:sz w:val="18"/>
          <w:szCs w:val="18"/>
          <w:bdr w:val="none" w:sz="0" w:space="0" w:color="auto" w:frame="1"/>
          <w:lang w:eastAsia="it-IT"/>
        </w:rPr>
        <w:t>money</w:t>
      </w:r>
      <w:proofErr w:type="spellEnd"/>
      <w:r>
        <w:rPr>
          <w:rFonts w:ascii="Roboto" w:eastAsia="Times New Roman" w:hAnsi="Roboto" w:cs="Times New Roman"/>
          <w:color w:val="4C4C4C"/>
          <w:sz w:val="18"/>
          <w:szCs w:val="18"/>
          <w:bdr w:val="none" w:sz="0" w:space="0" w:color="auto" w:frame="1"/>
          <w:lang w:eastAsia="it-IT"/>
        </w:rPr>
        <w:t xml:space="preserve"> transfer. Sempre in tema di pagamenti elettronici, viene esteso l’obbligo per i commercianti e i professionisti di accettare pagamenti anche mediante carte di credito, oltre che di debito, tranne nei casi di oggettiva impossibilità tecnica. Dal 1° luglio 2016 l’obbligo di accettare pagamenti con moneta elettronica riguarderà anche i dispositivi di controllo di durata della sosta.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</w:pPr>
      <w:r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  <w:br/>
      </w:r>
    </w:p>
    <w:p>
      <w:pPr>
        <w:shd w:val="clear" w:color="auto" w:fill="FFFFFF"/>
        <w:spacing w:after="0" w:line="207" w:lineRule="atLeast"/>
        <w:jc w:val="both"/>
        <w:textAlignment w:val="baseline"/>
        <w:rPr>
          <w:rFonts w:ascii="inherit" w:eastAsia="Times New Roman" w:hAnsi="inherit" w:cs="Times New Roman"/>
          <w:color w:val="4C4C4C"/>
          <w:sz w:val="18"/>
          <w:szCs w:val="18"/>
          <w:lang w:eastAsia="it-IT"/>
        </w:rPr>
      </w:pPr>
      <w:r>
        <w:rPr>
          <w:rFonts w:ascii="Roboto" w:eastAsia="Times New Roman" w:hAnsi="Roboto" w:cs="Times New Roman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Credito sud</w:t>
      </w:r>
      <w:r>
        <w:rPr>
          <w:rFonts w:ascii="Roboto" w:eastAsia="Times New Roman" w:hAnsi="Roboto" w:cs="Times New Roman"/>
          <w:color w:val="4C4C4C"/>
          <w:sz w:val="18"/>
          <w:szCs w:val="18"/>
          <w:bdr w:val="none" w:sz="0" w:space="0" w:color="auto" w:frame="1"/>
          <w:lang w:eastAsia="it-IT"/>
        </w:rPr>
        <w:t> - Limitatamente a Campania, Puglia, Basilicata, Calabria, Sicilia, Molise, Sardegna e Abruzzo viene introdotto un credito d’imposta per l’acquisto di beni strumentali, anche tramite leasing, dal 1° gennaio 2016 al 31 dicembre 2019, differenziato in base alle dimensioni aziendali: 20 per cento per le piccole imprese, 15% per le medie, 10 per le grandi.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</w:pPr>
      <w:r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  <w:br/>
      </w:r>
    </w:p>
    <w:p>
      <w:pPr>
        <w:shd w:val="clear" w:color="auto" w:fill="FFFFFF"/>
        <w:spacing w:after="0" w:line="207" w:lineRule="atLeast"/>
        <w:jc w:val="both"/>
        <w:textAlignment w:val="baseline"/>
        <w:rPr>
          <w:rFonts w:ascii="inherit" w:eastAsia="Times New Roman" w:hAnsi="inherit" w:cs="Times New Roman"/>
          <w:color w:val="4C4C4C"/>
          <w:sz w:val="18"/>
          <w:szCs w:val="18"/>
          <w:lang w:eastAsia="it-IT"/>
        </w:rPr>
      </w:pPr>
      <w:r>
        <w:rPr>
          <w:rFonts w:ascii="Roboto" w:eastAsia="Times New Roman" w:hAnsi="Roboto" w:cs="Times New Roman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Leasing immobiliare ad uso abitativo</w:t>
      </w:r>
      <w:r>
        <w:rPr>
          <w:rFonts w:ascii="Roboto" w:eastAsia="Times New Roman" w:hAnsi="Roboto" w:cs="Times New Roman"/>
          <w:color w:val="4C4C4C"/>
          <w:sz w:val="18"/>
          <w:szCs w:val="18"/>
          <w:bdr w:val="none" w:sz="0" w:space="0" w:color="auto" w:frame="1"/>
          <w:lang w:eastAsia="it-IT"/>
        </w:rPr>
        <w:t> – È prevista la deducibilità a fini IRPEF nella misura del 19% dei canoni di leasing fino a 8.000 euro, nonché del costo di acquisto dell'immobile all'esercizio dell'opzione finale fino a 20.000 euro.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</w:pPr>
      <w:r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  <w:br/>
      </w:r>
    </w:p>
    <w:p>
      <w:pPr>
        <w:shd w:val="clear" w:color="auto" w:fill="FFFFFF"/>
        <w:spacing w:after="0" w:line="207" w:lineRule="atLeast"/>
        <w:jc w:val="both"/>
        <w:textAlignment w:val="baseline"/>
        <w:rPr>
          <w:rFonts w:ascii="inherit" w:eastAsia="Times New Roman" w:hAnsi="inherit" w:cs="Times New Roman"/>
          <w:color w:val="4C4C4C"/>
          <w:sz w:val="18"/>
          <w:szCs w:val="18"/>
          <w:lang w:eastAsia="it-IT"/>
        </w:rPr>
      </w:pPr>
      <w:r>
        <w:rPr>
          <w:rFonts w:ascii="Roboto" w:eastAsia="Times New Roman" w:hAnsi="Roboto" w:cs="Times New Roman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Regime forfetario (ex minimi)</w:t>
      </w:r>
      <w:r>
        <w:rPr>
          <w:rFonts w:ascii="Roboto" w:eastAsia="Times New Roman" w:hAnsi="Roboto" w:cs="Times New Roman"/>
          <w:color w:val="4C4C4C"/>
          <w:sz w:val="18"/>
          <w:szCs w:val="18"/>
          <w:bdr w:val="none" w:sz="0" w:space="0" w:color="auto" w:frame="1"/>
          <w:lang w:eastAsia="it-IT"/>
        </w:rPr>
        <w:t> - Elevate le soglie di ricavi per l'accesso al regime forfetario di imposta del 15%; per i professionisti si passa da 15.000 a 30.000.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</w:pPr>
      <w:r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  <w:br/>
      </w:r>
    </w:p>
    <w:p>
      <w:pPr>
        <w:shd w:val="clear" w:color="auto" w:fill="FFFFFF"/>
        <w:spacing w:after="0" w:line="207" w:lineRule="atLeast"/>
        <w:jc w:val="both"/>
        <w:textAlignment w:val="baseline"/>
        <w:rPr>
          <w:rFonts w:ascii="inherit" w:eastAsia="Times New Roman" w:hAnsi="inherit" w:cs="Times New Roman"/>
          <w:color w:val="4C4C4C"/>
          <w:sz w:val="18"/>
          <w:szCs w:val="18"/>
          <w:lang w:eastAsia="it-IT"/>
        </w:rPr>
      </w:pPr>
      <w:r>
        <w:rPr>
          <w:rFonts w:ascii="Roboto" w:eastAsia="Times New Roman" w:hAnsi="Roboto" w:cs="Times New Roman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 xml:space="preserve">Modifiche alla no </w:t>
      </w:r>
      <w:proofErr w:type="spellStart"/>
      <w:r>
        <w:rPr>
          <w:rFonts w:ascii="Roboto" w:eastAsia="Times New Roman" w:hAnsi="Roboto" w:cs="Times New Roman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tax</w:t>
      </w:r>
      <w:proofErr w:type="spellEnd"/>
      <w:r>
        <w:rPr>
          <w:rFonts w:ascii="Roboto" w:eastAsia="Times New Roman" w:hAnsi="Roboto" w:cs="Times New Roman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 xml:space="preserve"> area</w:t>
      </w:r>
      <w:r>
        <w:rPr>
          <w:rFonts w:ascii="Roboto" w:eastAsia="Times New Roman" w:hAnsi="Roboto" w:cs="Times New Roman"/>
          <w:color w:val="4C4C4C"/>
          <w:sz w:val="18"/>
          <w:szCs w:val="18"/>
          <w:bdr w:val="none" w:sz="0" w:space="0" w:color="auto" w:frame="1"/>
          <w:lang w:eastAsia="it-IT"/>
        </w:rPr>
        <w:t>: Per i pensionati over 75 anni passa da 7.500 a 8.000 euro, per i contribuenti di età compresa tra 70 e 75 anni passa da 7.500 a 7.750 euro.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</w:pPr>
      <w:r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  <w:br/>
      </w:r>
      <w:r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  <w:br/>
      </w:r>
      <w:r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  <w:br/>
      </w:r>
    </w:p>
    <w:p>
      <w:pPr>
        <w:shd w:val="clear" w:color="auto" w:fill="FFFFFF"/>
        <w:spacing w:line="207" w:lineRule="atLeast"/>
        <w:jc w:val="both"/>
        <w:textAlignment w:val="baseline"/>
        <w:rPr>
          <w:rFonts w:ascii="inherit" w:eastAsia="Times New Roman" w:hAnsi="inherit" w:cs="Times New Roman"/>
          <w:color w:val="4C4C4C"/>
          <w:sz w:val="18"/>
          <w:szCs w:val="18"/>
          <w:lang w:eastAsia="it-IT"/>
        </w:rPr>
      </w:pPr>
      <w:r>
        <w:rPr>
          <w:rFonts w:ascii="Roboto" w:eastAsia="Times New Roman" w:hAnsi="Roboto" w:cs="Times New Roman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 xml:space="preserve">Taglio </w:t>
      </w:r>
      <w:proofErr w:type="spellStart"/>
      <w:r>
        <w:rPr>
          <w:rFonts w:ascii="Roboto" w:eastAsia="Times New Roman" w:hAnsi="Roboto" w:cs="Times New Roman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Ires</w:t>
      </w:r>
      <w:proofErr w:type="spellEnd"/>
      <w:r>
        <w:rPr>
          <w:rFonts w:ascii="Roboto" w:eastAsia="Times New Roman" w:hAnsi="Roboto" w:cs="Times New Roman"/>
          <w:color w:val="4C4C4C"/>
          <w:sz w:val="18"/>
          <w:szCs w:val="18"/>
          <w:bdr w:val="none" w:sz="0" w:space="0" w:color="auto" w:frame="1"/>
          <w:lang w:eastAsia="it-IT"/>
        </w:rPr>
        <w:t> -Il governo è intenzionato a tagliare l'</w:t>
      </w:r>
      <w:proofErr w:type="spellStart"/>
      <w:r>
        <w:rPr>
          <w:rFonts w:ascii="Roboto" w:eastAsia="Times New Roman" w:hAnsi="Roboto" w:cs="Times New Roman"/>
          <w:color w:val="4C4C4C"/>
          <w:sz w:val="18"/>
          <w:szCs w:val="18"/>
          <w:bdr w:val="none" w:sz="0" w:space="0" w:color="auto" w:frame="1"/>
          <w:lang w:eastAsia="it-IT"/>
        </w:rPr>
        <w:t>Ires</w:t>
      </w:r>
      <w:proofErr w:type="spellEnd"/>
      <w:r>
        <w:rPr>
          <w:rFonts w:ascii="Roboto" w:eastAsia="Times New Roman" w:hAnsi="Roboto" w:cs="Times New Roman"/>
          <w:color w:val="4C4C4C"/>
          <w:sz w:val="18"/>
          <w:szCs w:val="18"/>
          <w:bdr w:val="none" w:sz="0" w:space="0" w:color="auto" w:frame="1"/>
          <w:lang w:eastAsia="it-IT"/>
        </w:rPr>
        <w:t xml:space="preserve">, l'imposta sui redditi societari, ma solo a partire dal 2017. Fra due anni, l'aliquota scenderà infatti dall'attuale 27,5% al 24%. La riduzione dell'imposta non verrà anticipata invece al 2016, cioè prima del previsto, come prospettato inizialmente dal premier </w:t>
      </w:r>
      <w:proofErr w:type="spellStart"/>
      <w:r>
        <w:rPr>
          <w:rFonts w:ascii="Roboto" w:eastAsia="Times New Roman" w:hAnsi="Roboto" w:cs="Times New Roman"/>
          <w:color w:val="4C4C4C"/>
          <w:sz w:val="18"/>
          <w:szCs w:val="18"/>
          <w:bdr w:val="none" w:sz="0" w:space="0" w:color="auto" w:frame="1"/>
          <w:lang w:eastAsia="it-IT"/>
        </w:rPr>
        <w:t>Renzi</w:t>
      </w:r>
      <w:proofErr w:type="spellEnd"/>
      <w:r>
        <w:rPr>
          <w:rFonts w:ascii="Roboto" w:eastAsia="Times New Roman" w:hAnsi="Roboto" w:cs="Times New Roman"/>
          <w:color w:val="4C4C4C"/>
          <w:sz w:val="18"/>
          <w:szCs w:val="18"/>
          <w:bdr w:val="none" w:sz="0" w:space="0" w:color="auto" w:frame="1"/>
          <w:lang w:eastAsia="it-IT"/>
        </w:rPr>
        <w:t>. Il governo preferisce invece stanziare 2 miliardi per la sicurezza.</w:t>
      </w:r>
    </w:p>
    <w:p/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8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2015-12-31T07:56:00Z</dcterms:created>
  <dcterms:modified xsi:type="dcterms:W3CDTF">2015-12-31T07:58:00Z</dcterms:modified>
</cp:coreProperties>
</file>