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300" w:line="240" w:lineRule="auto"/>
        <w:jc w:val="center"/>
        <w:outlineLvl w:val="0"/>
        <w:rPr>
          <w:rFonts w:ascii="Roboto Slab" w:eastAsia="Times New Roman" w:hAnsi="Roboto Slab" w:cs="Arial"/>
          <w:color w:val="3C6F90"/>
          <w:kern w:val="36"/>
          <w:sz w:val="53"/>
          <w:szCs w:val="53"/>
          <w:lang w:eastAsia="it-IT"/>
        </w:rPr>
      </w:pPr>
      <w:r>
        <w:rPr>
          <w:rFonts w:ascii="Roboto Slab" w:eastAsia="Times New Roman" w:hAnsi="Roboto Slab" w:cs="Arial"/>
          <w:color w:val="3C6F90"/>
          <w:kern w:val="36"/>
          <w:sz w:val="53"/>
          <w:szCs w:val="53"/>
          <w:lang w:eastAsia="it-IT"/>
        </w:rPr>
        <w:t>Dall’Agenzia i chiarimenti sul nuovo contenzioso tributario</w:t>
      </w:r>
    </w:p>
    <w:p>
      <w:pPr>
        <w:shd w:val="clear" w:color="auto" w:fill="FFFFFF"/>
        <w:spacing w:after="300" w:line="375" w:lineRule="atLeast"/>
        <w:outlineLvl w:val="1"/>
        <w:rPr>
          <w:rFonts w:ascii="inherit" w:eastAsia="Times New Roman" w:hAnsi="inherit" w:cs="Arial"/>
          <w:color w:val="686A6A"/>
          <w:sz w:val="32"/>
          <w:szCs w:val="32"/>
          <w:lang w:eastAsia="it-IT"/>
        </w:rPr>
      </w:pPr>
      <w:r>
        <w:rPr>
          <w:rFonts w:ascii="inherit" w:eastAsia="Times New Roman" w:hAnsi="inherit" w:cs="Arial"/>
          <w:color w:val="686A6A"/>
          <w:sz w:val="32"/>
          <w:szCs w:val="32"/>
          <w:lang w:eastAsia="it-IT"/>
        </w:rPr>
        <w:t>Mediazione estesa ai Comuni per i ricorsi notificati dal 1° gennaio e nuovo termine per il rinvio di 6 mesi per le sentenze depositate da tale data</w:t>
      </w:r>
    </w:p>
    <w:p>
      <w:pPr>
        <w:shd w:val="clear" w:color="auto" w:fill="FFFFFF"/>
        <w:spacing w:after="0" w:line="300" w:lineRule="atLeast"/>
        <w:textAlignment w:val="center"/>
        <w:rPr>
          <w:rFonts w:ascii="Roboto Slab" w:eastAsia="Times New Roman" w:hAnsi="Roboto Slab" w:cs="Arial"/>
          <w:color w:val="686A6A"/>
          <w:sz w:val="20"/>
          <w:szCs w:val="20"/>
          <w:lang w:eastAsia="it-IT"/>
        </w:rPr>
      </w:pPr>
      <w:r>
        <w:rPr>
          <w:rFonts w:ascii="Roboto Slab" w:eastAsia="Times New Roman" w:hAnsi="Roboto Slab" w:cs="Arial"/>
          <w:color w:val="686A6A"/>
          <w:sz w:val="20"/>
          <w:szCs w:val="20"/>
          <w:lang w:eastAsia="it-IT"/>
        </w:rPr>
        <w:t>Mercoledì, 30 dicembre 2015</w:t>
      </w:r>
    </w:p>
    <w:bookmarkStart w:id="0" w:name="_GoBack"/>
    <w:bookmarkEnd w:id="0"/>
    <w:p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686A6A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686A6A"/>
          <w:sz w:val="20"/>
          <w:szCs w:val="20"/>
          <w:lang w:eastAsia="it-IT"/>
        </w:rPr>
        <w:fldChar w:fldCharType="begin"/>
      </w:r>
      <w:r>
        <w:rPr>
          <w:rFonts w:ascii="Arial" w:eastAsia="Times New Roman" w:hAnsi="Arial" w:cs="Arial"/>
          <w:color w:val="686A6A"/>
          <w:sz w:val="20"/>
          <w:szCs w:val="20"/>
          <w:lang w:eastAsia="it-IT"/>
        </w:rPr>
        <w:instrText xml:space="preserve"> HYPERLINK "http://www.eutekne.it/Servizi/EutekneInfo/Pdf.aspx?IDRecen=544603&amp;IDSrc=100&amp;vista=direct" </w:instrText>
      </w:r>
      <w:r>
        <w:rPr>
          <w:rFonts w:ascii="Arial" w:eastAsia="Times New Roman" w:hAnsi="Arial" w:cs="Arial"/>
          <w:color w:val="686A6A"/>
          <w:sz w:val="20"/>
          <w:szCs w:val="20"/>
          <w:lang w:eastAsia="it-IT"/>
        </w:rPr>
        <w:fldChar w:fldCharType="separate"/>
      </w:r>
      <w:r>
        <w:rPr>
          <w:rFonts w:ascii="Arial" w:eastAsia="Times New Roman" w:hAnsi="Arial" w:cs="Arial"/>
          <w:color w:val="686A6A"/>
          <w:sz w:val="20"/>
          <w:szCs w:val="20"/>
          <w:lang w:eastAsia="it-IT"/>
        </w:rPr>
        <w:fldChar w:fldCharType="end"/>
      </w:r>
    </w:p>
    <w:p>
      <w:pPr>
        <w:shd w:val="clear" w:color="auto" w:fill="FFFFFF"/>
        <w:spacing w:after="300" w:line="384" w:lineRule="atLeast"/>
        <w:jc w:val="both"/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</w:pP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L’Agenzia delle Entrate, con la circolare n. </w:t>
      </w:r>
      <w:hyperlink r:id="rId5" w:tgtFrame="_blank" w:history="1">
        <w:r>
          <w:rPr>
            <w:rFonts w:ascii="Roboto Slab" w:eastAsia="Times New Roman" w:hAnsi="Roboto Slab" w:cs="Arial"/>
            <w:color w:val="337AB7"/>
            <w:sz w:val="24"/>
            <w:szCs w:val="24"/>
            <w:lang w:eastAsia="it-IT"/>
          </w:rPr>
          <w:t>38</w:t>
        </w:r>
      </w:hyperlink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 xml:space="preserve"> pubblicata ieri, commenta le novità apportate dal </w:t>
      </w:r>
      <w:proofErr w:type="spellStart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DLgs</w:t>
      </w:r>
      <w:proofErr w:type="spellEnd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. 24 settembre 2015 n. 156 al</w:t>
      </w:r>
      <w:r>
        <w:rPr>
          <w:rFonts w:ascii="Roboto Slab" w:eastAsia="Times New Roman" w:hAnsi="Roboto Slab" w:cs="Arial"/>
          <w:b/>
          <w:bCs/>
          <w:color w:val="000000"/>
          <w:sz w:val="24"/>
          <w:szCs w:val="24"/>
          <w:lang w:eastAsia="it-IT"/>
        </w:rPr>
        <w:t> sistema processuale tributario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, effettuando diverse interessanti considerazioni specie in merito alla decorrenza di alcune innovazioni.</w:t>
      </w:r>
    </w:p>
    <w:p>
      <w:pPr>
        <w:shd w:val="clear" w:color="auto" w:fill="FFFFFF"/>
        <w:spacing w:after="300" w:line="384" w:lineRule="atLeast"/>
        <w:jc w:val="both"/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</w:pP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 xml:space="preserve">In primo luogo, richiamando quanto indicato nella Relazione illustrativa al decreto, si sostiene che le modifiche operano, come sancito dall’art. 12 del </w:t>
      </w:r>
      <w:proofErr w:type="spellStart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DLgs</w:t>
      </w:r>
      <w:proofErr w:type="spellEnd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. 156/2015, a partire dal </w:t>
      </w:r>
      <w:r>
        <w:rPr>
          <w:rFonts w:ascii="Roboto Slab" w:eastAsia="Times New Roman" w:hAnsi="Roboto Slab" w:cs="Arial"/>
          <w:b/>
          <w:bCs/>
          <w:color w:val="000000"/>
          <w:sz w:val="24"/>
          <w:szCs w:val="24"/>
          <w:lang w:eastAsia="it-IT"/>
        </w:rPr>
        <w:t>prossimo 1° gennaio 2016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, quindi per i processi che, alla predetta data, risultano pendenti.</w:t>
      </w:r>
    </w:p>
    <w:p>
      <w:pPr>
        <w:shd w:val="clear" w:color="auto" w:fill="FFFFFF"/>
        <w:spacing w:after="300" w:line="384" w:lineRule="atLeast"/>
        <w:jc w:val="both"/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</w:pP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In tema di reclamo/mediazione, si conferma quanto avevamo affermato su</w:t>
      </w:r>
      <w:r>
        <w:rPr>
          <w:rFonts w:ascii="Roboto Slab" w:eastAsia="Times New Roman" w:hAnsi="Roboto Slab" w:cs="Arial"/>
          <w:i/>
          <w:iCs/>
          <w:color w:val="000000"/>
          <w:sz w:val="24"/>
          <w:szCs w:val="24"/>
          <w:lang w:eastAsia="it-IT"/>
        </w:rPr>
        <w:t>Eutekne.info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 (si veda “</w:t>
      </w:r>
      <w:hyperlink r:id="rId6" w:tgtFrame="_blank" w:history="1">
        <w:r>
          <w:rPr>
            <w:rFonts w:ascii="Roboto Slab" w:eastAsia="Times New Roman" w:hAnsi="Roboto Slab" w:cs="Arial"/>
            <w:color w:val="337AB7"/>
            <w:sz w:val="24"/>
            <w:szCs w:val="24"/>
            <w:lang w:eastAsia="it-IT"/>
          </w:rPr>
          <w:t>Estensione del reclamo a tutti i tributi con decorrenza «insidiosa»</w:t>
        </w:r>
      </w:hyperlink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” del 14 dicembre): l’estensione della mediazione agli atti, fermo restando il valore dei 20.000 euro, emessi da tutti gli enti impositori nonché alle impugnazioni avverso gli avvisi di classamento, opera per i</w:t>
      </w:r>
      <w:r>
        <w:rPr>
          <w:rFonts w:ascii="Roboto Slab" w:eastAsia="Times New Roman" w:hAnsi="Roboto Slab" w:cs="Arial"/>
          <w:b/>
          <w:bCs/>
          <w:color w:val="000000"/>
          <w:sz w:val="24"/>
          <w:szCs w:val="24"/>
          <w:lang w:eastAsia="it-IT"/>
        </w:rPr>
        <w:t> ricorsi notificati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 dal contribuente dal 1° gennaio 2016. Detto diversamente, per appurare da quando, in concreto, occorre notificare il ricorso/reclamo e tentare la mediazione in luogo del normale ricorso ad esempio per impugnare un accertamento IMU del Comune, bisogna fare riferimento al momento di notifica del ricorso stesso, e non al giorno di notifica, ad opera dell’ente impositore, dell’atto che si intende reclamare.</w:t>
      </w:r>
    </w:p>
    <w:p>
      <w:pPr>
        <w:shd w:val="clear" w:color="auto" w:fill="FFFFFF"/>
        <w:spacing w:after="300" w:line="384" w:lineRule="atLeast"/>
        <w:jc w:val="both"/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</w:pP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In senso analogo, la possibilità di pervenire alla conciliazione giudiziale sia nelle liti reclamabili che in appello opera pure con riferimento ai </w:t>
      </w:r>
      <w:r>
        <w:rPr>
          <w:rFonts w:ascii="Roboto Slab" w:eastAsia="Times New Roman" w:hAnsi="Roboto Slab" w:cs="Arial"/>
          <w:b/>
          <w:bCs/>
          <w:color w:val="000000"/>
          <w:sz w:val="24"/>
          <w:szCs w:val="24"/>
          <w:lang w:eastAsia="it-IT"/>
        </w:rPr>
        <w:t>processi pendenti al 1° gennaio 2016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, a prescindere da quando è stato notificato il ricorso di primo o di secondo grado. Pertanto, se un contribuente ha notificato l’appello lo scorso autunno, e l’udienza è fissata ad esempio a febbraio, è possibile, su accordo con il funzionario, pervenire alla conciliazione giudiziale.</w:t>
      </w:r>
    </w:p>
    <w:p>
      <w:pPr>
        <w:shd w:val="clear" w:color="auto" w:fill="FFFFFF"/>
        <w:spacing w:after="300" w:line="384" w:lineRule="atLeast"/>
        <w:jc w:val="both"/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</w:pP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Sempre in tema di decorrenza, le Entrate evidenziano che il dimezzamento, </w:t>
      </w:r>
      <w:r>
        <w:rPr>
          <w:rFonts w:ascii="Roboto Slab" w:eastAsia="Times New Roman" w:hAnsi="Roboto Slab" w:cs="Arial"/>
          <w:b/>
          <w:bCs/>
          <w:color w:val="000000"/>
          <w:sz w:val="24"/>
          <w:szCs w:val="24"/>
          <w:lang w:eastAsia="it-IT"/>
        </w:rPr>
        <w:t>da un anno a sei mesi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 xml:space="preserve">, del termine per la riassunzione in rinvio (art. 63 del </w:t>
      </w:r>
      <w:proofErr w:type="spellStart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DLgs</w:t>
      </w:r>
      <w:proofErr w:type="spellEnd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. 546/92), opera per le sentenze di cassazione con rinvio </w:t>
      </w:r>
      <w:r>
        <w:rPr>
          <w:rFonts w:ascii="Roboto Slab" w:eastAsia="Times New Roman" w:hAnsi="Roboto Slab" w:cs="Arial"/>
          <w:b/>
          <w:bCs/>
          <w:color w:val="000000"/>
          <w:sz w:val="24"/>
          <w:szCs w:val="24"/>
          <w:lang w:eastAsia="it-IT"/>
        </w:rPr>
        <w:t>depositate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 xml:space="preserve"> dal 1° gennaio 2016. Quindi, come peraltro ovvio, nessun problema si prospetta per i contribuenti e gli enti impositori che hanno riassunto il processo oltre i sei mesi ma entro l’anno in relazione a sentenze depositate in una data antecedente all’entrata in 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lastRenderedPageBreak/>
        <w:t xml:space="preserve">vigore del </w:t>
      </w:r>
      <w:proofErr w:type="spellStart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DLgs</w:t>
      </w:r>
      <w:proofErr w:type="spellEnd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. 156/2015 (si veda “</w:t>
      </w:r>
      <w:hyperlink r:id="rId7" w:tgtFrame="_blank" w:history="1">
        <w:r>
          <w:rPr>
            <w:rFonts w:ascii="Roboto Slab" w:eastAsia="Times New Roman" w:hAnsi="Roboto Slab" w:cs="Arial"/>
            <w:color w:val="337AB7"/>
            <w:sz w:val="24"/>
            <w:szCs w:val="24"/>
            <w:lang w:eastAsia="it-IT"/>
          </w:rPr>
          <w:t>Nuovo termine di 6 mesi per il giudizio di rinvio senza effetto retroattivo</w:t>
        </w:r>
      </w:hyperlink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” del 7 dicembre 2015).</w:t>
      </w:r>
    </w:p>
    <w:p>
      <w:pPr>
        <w:shd w:val="clear" w:color="auto" w:fill="FFFFFF"/>
        <w:spacing w:line="300" w:lineRule="atLeast"/>
        <w:jc w:val="both"/>
        <w:rPr>
          <w:rFonts w:ascii="Roboto" w:eastAsia="Times New Roman" w:hAnsi="Roboto" w:cs="Arial"/>
          <w:i/>
          <w:iCs/>
          <w:color w:val="000000"/>
          <w:sz w:val="30"/>
          <w:szCs w:val="30"/>
          <w:lang w:eastAsia="it-IT"/>
        </w:rPr>
      </w:pPr>
      <w:r>
        <w:rPr>
          <w:rFonts w:ascii="Roboto" w:eastAsia="Times New Roman" w:hAnsi="Roboto" w:cs="Arial"/>
          <w:i/>
          <w:iCs/>
          <w:color w:val="000000"/>
          <w:sz w:val="30"/>
          <w:szCs w:val="30"/>
          <w:lang w:eastAsia="it-IT"/>
        </w:rPr>
        <w:t>Subito operante la conciliazione giudiziale in appello</w:t>
      </w:r>
    </w:p>
    <w:p>
      <w:pPr>
        <w:shd w:val="clear" w:color="auto" w:fill="FFFFFF"/>
        <w:spacing w:after="300" w:line="384" w:lineRule="atLeast"/>
        <w:jc w:val="both"/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</w:pP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Altre novità importanti riguardano la riduzione delle sanzioni a seguito di mediazione o di conciliazione giudiziale: la riduzione (a seconda delle ipotesi, del 35%, del 40% o del 50%) sarà conteggiata non sull’irrogato ma sul minimo edittale, cosa non da poco, specie quando l’Ufficio ha applicato il massimo edittale.</w:t>
      </w:r>
    </w:p>
    <w:p>
      <w:pPr>
        <w:shd w:val="clear" w:color="auto" w:fill="FFFFFF"/>
        <w:spacing w:after="300" w:line="384" w:lineRule="atLeast"/>
        <w:jc w:val="both"/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</w:pP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Poi, si conferma che, se, ad esempio a seguito di reclamo, la pretesa viene ridimensionata, il contribuente, rinunciando a depositare il ricorso/reclamo, può definire l’atto con “</w:t>
      </w:r>
      <w:r>
        <w:rPr>
          <w:rFonts w:ascii="Roboto Slab" w:eastAsia="Times New Roman" w:hAnsi="Roboto Slab" w:cs="Arial"/>
          <w:b/>
          <w:bCs/>
          <w:color w:val="000000"/>
          <w:sz w:val="24"/>
          <w:szCs w:val="24"/>
          <w:lang w:eastAsia="it-IT"/>
        </w:rPr>
        <w:t>acquiescenza processuale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” (art. 2-</w:t>
      </w:r>
      <w:r>
        <w:rPr>
          <w:rFonts w:ascii="Roboto Slab" w:eastAsia="Times New Roman" w:hAnsi="Roboto Slab" w:cs="Arial"/>
          <w:i/>
          <w:iCs/>
          <w:color w:val="000000"/>
          <w:sz w:val="24"/>
          <w:szCs w:val="24"/>
          <w:lang w:eastAsia="it-IT"/>
        </w:rPr>
        <w:t>quater 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comma 1-</w:t>
      </w:r>
      <w:r>
        <w:rPr>
          <w:rFonts w:ascii="Roboto Slab" w:eastAsia="Times New Roman" w:hAnsi="Roboto Slab" w:cs="Arial"/>
          <w:i/>
          <w:iCs/>
          <w:color w:val="000000"/>
          <w:sz w:val="24"/>
          <w:szCs w:val="24"/>
          <w:lang w:eastAsia="it-IT"/>
        </w:rPr>
        <w:t>sexies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 xml:space="preserve"> del DL 564/92), fruendo della riduzione delle sanzioni al terzo come ammesso dall’art. 15 del </w:t>
      </w:r>
      <w:proofErr w:type="spellStart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DLgs</w:t>
      </w:r>
      <w:proofErr w:type="spellEnd"/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. 218/97.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br/>
        <w:t>Nella circolare ci si sofferma in particolar modo sulla tutela cautelare, ora “positivizzata” anche per le fasi di gravame, dopo ripetuti interventi della Corte Costituzionale. Il contribuente potrà chiedere la </w:t>
      </w:r>
      <w:r>
        <w:rPr>
          <w:rFonts w:ascii="Roboto Slab" w:eastAsia="Times New Roman" w:hAnsi="Roboto Slab" w:cs="Arial"/>
          <w:b/>
          <w:bCs/>
          <w:color w:val="000000"/>
          <w:sz w:val="24"/>
          <w:szCs w:val="24"/>
          <w:lang w:eastAsia="it-IT"/>
        </w:rPr>
        <w:t>sospensione </w:t>
      </w:r>
      <w:r>
        <w:rPr>
          <w:rFonts w:ascii="Roboto Slab" w:eastAsia="Times New Roman" w:hAnsi="Roboto Slab" w:cs="Arial"/>
          <w:color w:val="000000"/>
          <w:sz w:val="24"/>
          <w:szCs w:val="24"/>
          <w:lang w:eastAsia="it-IT"/>
        </w:rPr>
        <w:t>dell’atto impugnato sulla base degli stessi presupposti contemplati dall’art. 47 (danno grave e irreparabile) altresì in appello o in pendenza del giudizio di Cassazione (con ricorso, in quest’ultima fattispecie, presentato presso la Regionale).</w:t>
      </w:r>
    </w:p>
    <w:p/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08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67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4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0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633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5530">
                  <w:marLeft w:val="0"/>
                  <w:marRight w:val="0"/>
                  <w:marTop w:val="450"/>
                  <w:marBottom w:val="450"/>
                  <w:divBdr>
                    <w:top w:val="single" w:sz="12" w:space="4" w:color="CCCCCC"/>
                    <w:left w:val="none" w:sz="0" w:space="0" w:color="auto"/>
                    <w:bottom w:val="single" w:sz="12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tekne.it/Servizi/EutekneInfo/Recensione.aspx?ID=5402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utekne.it/Servizi/EutekneInfo/Recensione.aspx?ID=542570" TargetMode="External"/><Relationship Id="rId5" Type="http://schemas.openxmlformats.org/officeDocument/2006/relationships/hyperlink" Target="http://www.eutekne.it/Servizi/RassegnaPrassi/Testo.aspx?ID=235237&amp;IDSrc=1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2015-12-30T08:09:00Z</dcterms:created>
  <dcterms:modified xsi:type="dcterms:W3CDTF">2015-12-30T08:11:00Z</dcterms:modified>
</cp:coreProperties>
</file>