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300" w:line="240" w:lineRule="auto"/>
        <w:outlineLvl w:val="0"/>
        <w:rPr>
          <w:rFonts w:ascii="Roboto Slab" w:eastAsia="Times New Roman" w:hAnsi="Roboto Slab" w:cs="Arial"/>
          <w:color w:val="3C6F90"/>
          <w:kern w:val="36"/>
          <w:sz w:val="53"/>
          <w:szCs w:val="53"/>
          <w:lang w:eastAsia="it-IT"/>
        </w:rPr>
      </w:pPr>
      <w:r>
        <w:rPr>
          <w:rFonts w:ascii="Roboto Slab" w:eastAsia="Times New Roman" w:hAnsi="Roboto Slab" w:cs="Arial"/>
          <w:color w:val="3C6F90"/>
          <w:kern w:val="36"/>
          <w:sz w:val="53"/>
          <w:szCs w:val="53"/>
          <w:lang w:eastAsia="it-IT"/>
        </w:rPr>
        <w:t>Estensione del reclamo a tutti i tributi con decorrenza «insidiosa»</w:t>
      </w:r>
    </w:p>
    <w:p>
      <w:pPr>
        <w:shd w:val="clear" w:color="auto" w:fill="FFFFFF"/>
        <w:spacing w:after="300" w:line="375" w:lineRule="atLeast"/>
        <w:outlineLvl w:val="1"/>
        <w:rPr>
          <w:rFonts w:ascii="inherit" w:eastAsia="Times New Roman" w:hAnsi="inherit" w:cs="Arial"/>
          <w:color w:val="686A6A"/>
          <w:sz w:val="32"/>
          <w:szCs w:val="32"/>
          <w:lang w:eastAsia="it-IT"/>
        </w:rPr>
      </w:pPr>
      <w:r>
        <w:rPr>
          <w:rFonts w:ascii="inherit" w:eastAsia="Times New Roman" w:hAnsi="inherit" w:cs="Arial"/>
          <w:color w:val="686A6A"/>
          <w:sz w:val="32"/>
          <w:szCs w:val="32"/>
          <w:lang w:eastAsia="it-IT"/>
        </w:rPr>
        <w:t>La novità dovrebbe decorrere dai reclami e non dagli atti impositivi notificati dal 1° gennaio 2016</w:t>
      </w:r>
    </w:p>
    <w:p>
      <w:pPr>
        <w:shd w:val="clear" w:color="auto" w:fill="FFFFFF"/>
        <w:spacing w:after="150" w:line="300" w:lineRule="atLeast"/>
        <w:textAlignment w:val="center"/>
        <w:rPr>
          <w:rFonts w:ascii="Roboto Slab" w:eastAsia="Times New Roman" w:hAnsi="Roboto Slab" w:cs="Arial"/>
          <w:b/>
          <w:bCs/>
          <w:color w:val="68A6CE"/>
          <w:sz w:val="20"/>
          <w:szCs w:val="20"/>
          <w:lang w:eastAsia="it-IT"/>
        </w:rPr>
      </w:pPr>
      <w:r>
        <w:rPr>
          <w:rFonts w:ascii="Roboto Slab" w:eastAsia="Times New Roman" w:hAnsi="Roboto Slab" w:cs="Arial"/>
          <w:b/>
          <w:bCs/>
          <w:color w:val="68A6CE"/>
          <w:sz w:val="20"/>
          <w:szCs w:val="20"/>
          <w:lang w:eastAsia="it-IT"/>
        </w:rPr>
        <w:t>/ </w:t>
      </w:r>
      <w:hyperlink r:id="rId5" w:history="1">
        <w:r>
          <w:rPr>
            <w:rFonts w:ascii="Roboto Slab" w:eastAsia="Times New Roman" w:hAnsi="Roboto Slab" w:cs="Arial"/>
            <w:b/>
            <w:bCs/>
            <w:color w:val="0000FF"/>
            <w:sz w:val="20"/>
            <w:szCs w:val="20"/>
            <w:lang w:eastAsia="it-IT"/>
          </w:rPr>
          <w:t>Alfio CISSELLO</w:t>
        </w:r>
      </w:hyperlink>
      <w:r>
        <w:rPr>
          <w:rFonts w:ascii="Roboto Slab" w:eastAsia="Times New Roman" w:hAnsi="Roboto Slab" w:cs="Arial"/>
          <w:b/>
          <w:bCs/>
          <w:color w:val="68A6CE"/>
          <w:sz w:val="20"/>
          <w:szCs w:val="20"/>
          <w:lang w:eastAsia="it-IT"/>
        </w:rPr>
        <w:t> e </w:t>
      </w:r>
      <w:hyperlink r:id="rId6" w:history="1">
        <w:r>
          <w:rPr>
            <w:rFonts w:ascii="Roboto Slab" w:eastAsia="Times New Roman" w:hAnsi="Roboto Slab" w:cs="Arial"/>
            <w:b/>
            <w:bCs/>
            <w:color w:val="0000FF"/>
            <w:sz w:val="20"/>
            <w:szCs w:val="20"/>
            <w:lang w:eastAsia="it-IT"/>
          </w:rPr>
          <w:t>Chiara RUFFINO</w:t>
        </w:r>
      </w:hyperlink>
    </w:p>
    <w:p>
      <w:pPr>
        <w:shd w:val="clear" w:color="auto" w:fill="FFFFFF"/>
        <w:spacing w:after="0" w:line="300" w:lineRule="atLeast"/>
        <w:textAlignment w:val="center"/>
        <w:rPr>
          <w:rFonts w:ascii="Roboto Slab" w:eastAsia="Times New Roman" w:hAnsi="Roboto Slab" w:cs="Arial"/>
          <w:color w:val="686A6A"/>
          <w:sz w:val="20"/>
          <w:szCs w:val="20"/>
          <w:lang w:eastAsia="it-IT"/>
        </w:rPr>
      </w:pPr>
      <w:r>
        <w:rPr>
          <w:rFonts w:ascii="Roboto Slab" w:eastAsia="Times New Roman" w:hAnsi="Roboto Slab" w:cs="Arial"/>
          <w:color w:val="686A6A"/>
          <w:sz w:val="20"/>
          <w:szCs w:val="20"/>
          <w:lang w:eastAsia="it-IT"/>
        </w:rPr>
        <w:t>Lunedì, 14 dicembre 2015</w:t>
      </w:r>
    </w:p>
    <w:bookmarkStart w:id="0" w:name="_GoBack"/>
    <w:bookmarkEnd w:id="0"/>
    <w:p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686A6A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fldChar w:fldCharType="begin"/>
      </w: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instrText xml:space="preserve"> HYPERLINK "javascript:void(0);" \o "invia mail" </w:instrText>
      </w: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fldChar w:fldCharType="separate"/>
      </w: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fldChar w:fldCharType="end"/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Una delle novità più importanti della riforma del contenzioso tributario attuata con il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 </w:t>
      </w:r>
      <w:hyperlink r:id="rId7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156/2015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concerne l’istituto del reclamo/mediazione, che, ferma restando la soglia dei 20.000 euro d’imposta, viene esteso alla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generalità dei tributi 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nonché agli avvisi di classamento.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Nel sistema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pregresso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, ciò era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circoscritto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ai soli atti impositivi emessi dall’Agenzia delle Entrate.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>In futuro, dunque, saranno soggetti a reclamo/mediazione anche, a titolo esemplificativo, gli accertamenti IMU, TARI, TOSAP nonché quelli notificati dalle Camere di commercio per il recupero dei diritti camerali, o quelli relativi ai contributi consortili.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Potrebbero emergere problemi in merito alla decorrenza, posto che, ai sensi dell’</w:t>
      </w:r>
      <w:hyperlink r:id="rId8" w:anchor="Comma1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art. 12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comma 1 del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156/2015, “le disposizioni del presente decreto entrano in vigore a decorrere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dal 1° gennaio 2016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”.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>Come già evidenziato per la riassunzione in rinvio (si veda “</w:t>
      </w:r>
      <w:hyperlink r:id="rId9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Nuovo termine di 6 mesi per il giudizio di rinvio senza effetto retroattivo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” del 7 dicembre 2015), si tratta di una disposizione che mal si presta a talune fattispecie proprie del contenzioso tributario, che, è bene rammentarlo, ha carattere </w:t>
      </w:r>
      <w:proofErr w:type="spellStart"/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impugnatorio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Prendendo l’esempio del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reclamo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, dal punto di vista “cronologico”, l’atto viene notificato dall’ente impositore, poi il ricorso/reclamo viene a sua volta notificato dal contribuente, e, in un momento ancora successivo depositato in segreteria.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Quale dei menzionati tre momenti deve essere considerato ai fini dell’applicabilità del “nuovo” </w:t>
      </w:r>
      <w:hyperlink r:id="rId10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art. 17-</w:t>
        </w:r>
        <w:r>
          <w:rPr>
            <w:rFonts w:ascii="Roboto Slab" w:eastAsia="Times New Roman" w:hAnsi="Roboto Slab" w:cs="Arial"/>
            <w:i/>
            <w:iCs/>
            <w:color w:val="337AB7"/>
            <w:sz w:val="24"/>
            <w:szCs w:val="24"/>
            <w:lang w:eastAsia="it-IT"/>
          </w:rPr>
          <w:t>bis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 del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546/92?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 xml:space="preserve">Siccome il contenzioso inizia con la notifica del ricorso/reclamo (tant’è che i termini propri della fase di mediazione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soggiaciono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 alla sospensione feriale dei termini processuali), si potrebbe asserire che la necessità del medesimo decorra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dai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ricorsi</w:t>
      </w:r>
      <w:proofErr w:type="spellEnd"/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/reclami notificati 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(facendo riferimento alla consegna dell’atto di reclamo all’ente impositore oppure alla spedizione postale) dal 1° gennaio 2016.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lastRenderedPageBreak/>
        <w:t>Tuttavia, sposando questa interpretazione, la decorrenza, a ben vedere, sarebbe “in balia” del contribuente, che, in merito ad un atto sotto la soglia dei 20.000 euro notificato da un Comune a fine novembre 2015, potrebbe di fatto decidere se applicare o meno il reclamo, notificando l’impugnazione prima o dal 1° gennaio 2016.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>In base ad una diversa opinione, però, si potrebbe pure affermare che sia necessario prendere come riferimento la data di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notifica dell’atto reclamabile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Del resto, il legislatore così ha ragionato nei pregressi interventi: si vedano gli </w:t>
      </w:r>
      <w:hyperlink r:id="rId11" w:anchor="Comma11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artt. 39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comma 11 del DL 98/2011 (relativo alla fase di prima introduzione dell’istituto, secondo cui “le disposizioni di cui al comma 9 si applicano con riferimento agli atti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suscettibili di reclamo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notificati a decorrere dal 1° aprile 2012”) e </w:t>
      </w:r>
      <w:hyperlink r:id="rId12" w:anchor="Comma611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1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comma 611 lettera b) della L. 147/2013 (relativa alle innovazioni apportate dalla medesima legge, secondo cui “ le modifiche di cui alla lettera a) si applicano agli atti notificati a decorrere dal sessantesimo giorno successivo all’entrata in vigore della presente legge”).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 xml:space="preserve">Come visto, però, nel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156/2015 nulla è previsto in punto decorrenza che, pertanto, verrà individuata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in via interpretativa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</w:t>
      </w:r>
    </w:p>
    <w:p>
      <w:pPr>
        <w:shd w:val="clear" w:color="auto" w:fill="FFFFFF"/>
        <w:spacing w:line="300" w:lineRule="atLeast"/>
        <w:rPr>
          <w:rFonts w:ascii="Roboto" w:eastAsia="Times New Roman" w:hAnsi="Roboto" w:cs="Arial"/>
          <w:i/>
          <w:iCs/>
          <w:color w:val="000000"/>
          <w:sz w:val="30"/>
          <w:szCs w:val="30"/>
          <w:lang w:eastAsia="it-IT"/>
        </w:rPr>
      </w:pPr>
      <w:r>
        <w:rPr>
          <w:rFonts w:ascii="Roboto" w:eastAsia="Times New Roman" w:hAnsi="Roboto" w:cs="Arial"/>
          <w:i/>
          <w:iCs/>
          <w:color w:val="000000"/>
          <w:sz w:val="30"/>
          <w:szCs w:val="30"/>
          <w:lang w:eastAsia="it-IT"/>
        </w:rPr>
        <w:t>Nei casi dubbi optare per il ricorso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Il problema che, potenzialmente, emerge, riguarda il rischio di inammissibilità del ricorso per tardiva costituzione in giudizio. Se opera l’art. 17-</w:t>
      </w:r>
      <w:r>
        <w:rPr>
          <w:rFonts w:ascii="Roboto Slab" w:eastAsia="Times New Roman" w:hAnsi="Roboto Slab" w:cs="Arial"/>
          <w:i/>
          <w:iCs/>
          <w:color w:val="000000"/>
          <w:sz w:val="24"/>
          <w:szCs w:val="24"/>
          <w:lang w:eastAsia="it-IT"/>
        </w:rPr>
        <w:t>bis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 del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546/92, notificato il reclamo, il contribuente non deposita il ricorso prima del decorso di 90 giorni dalla notifica dello stesso, mentre nelle situazioni ordinarie il deposito deve avvenire entro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30 giorni dalla notifica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>Infatti, se il contribuente ritenesse la lite reclamabile e depositasse, quindi, il ricorso in Commissione dopo 90 giorni dalla notifica a controparte, ove il giudice ritenesse la lite non reclamabile, il ricorso sarebbe dichiarato inammissibile per non aver effettuato la costituzione in giudizio rispettando il termine dei trenta giorni.</w:t>
      </w:r>
    </w:p>
    <w:p>
      <w:pPr>
        <w:shd w:val="clear" w:color="auto" w:fill="FFFFFF"/>
        <w:spacing w:after="300" w:line="384" w:lineRule="atLeast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Due sono le considerazioni che possono essere fatte.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>In primo luogo, stante l’incertezza vigente in punto decorrenza, l’inammissibilità per tardivo deposito del ricorso potrebbe essere scongiurata dalla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rimessione in termini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(prevista in termini generai dall’</w:t>
      </w:r>
      <w:hyperlink r:id="rId13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art. 153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del codice di procedura civile).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>In secondo luogo, prudenzialmente, il difensore potrebbe notificare, nei casi dubbi, il ricorso/reclamo, depositandolo, però, nei trenta giorni successivi (anziché attendere il decorso dei 90 previsti): così, se la lite venisse ritenuta, a torto o a ragione, reclamabile, alcuna inammissibilità potrebbe verificarsi, dovendo il giudice limitarsi a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rinviare l’udienza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per consentire la mediazione.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0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8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94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296">
                  <w:marLeft w:val="0"/>
                  <w:marRight w:val="0"/>
                  <w:marTop w:val="450"/>
                  <w:marBottom w:val="450"/>
                  <w:divBdr>
                    <w:top w:val="single" w:sz="12" w:space="4" w:color="CCCCCC"/>
                    <w:left w:val="none" w:sz="0" w:space="0" w:color="auto"/>
                    <w:bottom w:val="single" w:sz="12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tekne.it/Servizi/RassegnaLeggi/Recensione_Articolo.aspx?IDLegge=13828&amp;IDArticolo=338779&amp;IDSrc=100" TargetMode="External"/><Relationship Id="rId13" Type="http://schemas.openxmlformats.org/officeDocument/2006/relationships/hyperlink" Target="http://www.eutekne.it/Servizi/RassegnaLeggi/Recensione_Articolo.aspx?IDLegge=5354&amp;IDArticolo=60810&amp;IDSrc=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tekne.it/Servizi/RassegnaLeggi/Recensione_Leggi.aspx?IDLegge=13828&amp;IDSrc=100" TargetMode="External"/><Relationship Id="rId12" Type="http://schemas.openxmlformats.org/officeDocument/2006/relationships/hyperlink" Target="http://www.eutekne.it/Servizi/RassegnaLeggi/Recensione_Articolo.aspx?IDLegge=12201&amp;IDArticolo=289449&amp;IDSrc=1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tekne.info/Sezioni/Autore_chiara_ruffino.aspx?idrecensore=542" TargetMode="External"/><Relationship Id="rId11" Type="http://schemas.openxmlformats.org/officeDocument/2006/relationships/hyperlink" Target="http://www.eutekne.it/Servizi/RassegnaLeggi/Recensione_Articolo.aspx?IDLegge=10138&amp;IDArticolo=230253&amp;IDSrc=100" TargetMode="External"/><Relationship Id="rId5" Type="http://schemas.openxmlformats.org/officeDocument/2006/relationships/hyperlink" Target="http://www.eutekne.info/Sezioni/Autore_alfio_cissello.aspx?idrecensore=1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utekne.it/Servizi/RassegnaLeggi/Recensione_Articolo.aspx?IDLegge=5&amp;IDArticolo=230429&amp;IDSrc=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tekne.it/Servizi/EutekneInfo/Recensione.aspx?ID=5402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2015-12-14T14:38:00Z</dcterms:created>
  <dcterms:modified xsi:type="dcterms:W3CDTF">2015-12-14T14:40:00Z</dcterms:modified>
</cp:coreProperties>
</file>