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70" w:lineRule="atLeast"/>
        <w:jc w:val="both"/>
        <w:textAlignment w:val="baseline"/>
        <w:rPr>
          <w:rFonts w:ascii="Roboto" w:eastAsia="Times New Roman" w:hAnsi="Roboto"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 xml:space="preserve">L’approvazione del </w:t>
      </w:r>
      <w:proofErr w:type="spellStart"/>
      <w:r>
        <w:rPr>
          <w:rFonts w:ascii="Roboto" w:eastAsia="Times New Roman" w:hAnsi="Roboto" w:cs="Times New Roman"/>
          <w:b/>
          <w:bCs/>
          <w:color w:val="4C4C4C"/>
          <w:sz w:val="18"/>
          <w:szCs w:val="18"/>
          <w:bdr w:val="none" w:sz="0" w:space="0" w:color="auto" w:frame="1"/>
          <w:lang w:eastAsia="it-IT"/>
        </w:rPr>
        <w:t>D.Lgs</w:t>
      </w:r>
      <w:proofErr w:type="spellEnd"/>
      <w:r>
        <w:rPr>
          <w:rFonts w:ascii="Roboto" w:eastAsia="Times New Roman" w:hAnsi="Roboto" w:cs="Times New Roman"/>
          <w:b/>
          <w:bCs/>
          <w:color w:val="4C4C4C"/>
          <w:sz w:val="18"/>
          <w:szCs w:val="18"/>
          <w:bdr w:val="none" w:sz="0" w:space="0" w:color="auto" w:frame="1"/>
          <w:lang w:eastAsia="it-IT"/>
        </w:rPr>
        <w:t xml:space="preserve"> n. 156/2015. </w:t>
      </w:r>
      <w:r>
        <w:rPr>
          <w:rFonts w:ascii="Roboto" w:eastAsia="Times New Roman" w:hAnsi="Roboto" w:cs="Times New Roman"/>
          <w:color w:val="4C4C4C"/>
          <w:sz w:val="18"/>
          <w:szCs w:val="18"/>
          <w:bdr w:val="none" w:sz="0" w:space="0" w:color="auto" w:frame="1"/>
          <w:lang w:eastAsia="it-IT"/>
        </w:rPr>
        <w:t>In ottemperanza a quanto stabilito dal Legislatore delegante, il Governo ha ricondotto nell’ambito dello </w:t>
      </w:r>
      <w:r>
        <w:rPr>
          <w:rFonts w:ascii="inherit" w:eastAsia="Times New Roman" w:hAnsi="inherit" w:cs="Times New Roman"/>
          <w:b/>
          <w:bCs/>
          <w:color w:val="4C4C4C"/>
          <w:sz w:val="18"/>
          <w:szCs w:val="18"/>
          <w:bdr w:val="none" w:sz="0" w:space="0" w:color="auto" w:frame="1"/>
          <w:lang w:eastAsia="it-IT"/>
        </w:rPr>
        <w:t>Statuto dei diritti del contribuente</w:t>
      </w:r>
      <w:r>
        <w:rPr>
          <w:rFonts w:ascii="Roboto" w:eastAsia="Times New Roman" w:hAnsi="Roboto" w:cs="Times New Roman"/>
          <w:color w:val="4C4C4C"/>
          <w:sz w:val="18"/>
          <w:szCs w:val="18"/>
          <w:bdr w:val="none" w:sz="0" w:space="0" w:color="auto" w:frame="1"/>
          <w:lang w:eastAsia="it-IT"/>
        </w:rPr>
        <w:t> l’intera disciplina degli interpelli (prima distribuita su diverse norme, non perfettamente coordinate), mediante la radicale riformulazione dell’art. 11 della Legge n. 212/2000.</w:t>
      </w:r>
    </w:p>
    <w:p>
      <w:pPr>
        <w:spacing w:after="0" w:line="240" w:lineRule="auto"/>
        <w:rPr>
          <w:rFonts w:ascii="Times New Roman" w:eastAsia="Times New Roman" w:hAnsi="Times New Roman" w:cs="Times New Roman"/>
          <w:sz w:val="24"/>
          <w:szCs w:val="24"/>
          <w:lang w:eastAsia="it-IT"/>
        </w:rPr>
      </w:pPr>
      <w:r>
        <w:rPr>
          <w:rFonts w:ascii="Roboto" w:eastAsia="Times New Roman" w:hAnsi="Roboto" w:cs="Times New Roman"/>
          <w:color w:val="4C4C4C"/>
          <w:sz w:val="18"/>
          <w:szCs w:val="18"/>
          <w:lang w:eastAsia="it-IT"/>
        </w:rPr>
        <w:br/>
      </w:r>
    </w:p>
    <w:p>
      <w:pPr>
        <w:shd w:val="clear" w:color="auto" w:fill="FFFFFF"/>
        <w:spacing w:after="0" w:line="270" w:lineRule="atLeast"/>
        <w:jc w:val="both"/>
        <w:textAlignment w:val="baseline"/>
        <w:rPr>
          <w:rFonts w:ascii="Roboto" w:eastAsia="Times New Roman" w:hAnsi="Roboto"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 xml:space="preserve">In particolare, il </w:t>
      </w:r>
      <w:proofErr w:type="spellStart"/>
      <w:r>
        <w:rPr>
          <w:rFonts w:ascii="Roboto" w:eastAsia="Times New Roman" w:hAnsi="Roboto" w:cs="Times New Roman"/>
          <w:color w:val="4C4C4C"/>
          <w:sz w:val="18"/>
          <w:szCs w:val="18"/>
          <w:bdr w:val="none" w:sz="0" w:space="0" w:color="auto" w:frame="1"/>
          <w:lang w:eastAsia="it-IT"/>
        </w:rPr>
        <w:t>D.Lgs</w:t>
      </w:r>
      <w:proofErr w:type="spellEnd"/>
      <w:r>
        <w:rPr>
          <w:rFonts w:ascii="Roboto" w:eastAsia="Times New Roman" w:hAnsi="Roboto" w:cs="Times New Roman"/>
          <w:color w:val="4C4C4C"/>
          <w:sz w:val="18"/>
          <w:szCs w:val="18"/>
          <w:bdr w:val="none" w:sz="0" w:space="0" w:color="auto" w:frame="1"/>
          <w:lang w:eastAsia="it-IT"/>
        </w:rPr>
        <w:t xml:space="preserve"> 24/09/2015, n. 156, che entrerà in vigore dal 1° gennaio 2016, ha nel contempo:</w:t>
      </w:r>
    </w:p>
    <w:p>
      <w:pPr>
        <w:spacing w:after="0" w:line="240" w:lineRule="auto"/>
        <w:rPr>
          <w:rFonts w:ascii="Times New Roman" w:eastAsia="Times New Roman" w:hAnsi="Times New Roman" w:cs="Times New Roman"/>
          <w:sz w:val="24"/>
          <w:szCs w:val="24"/>
          <w:lang w:eastAsia="it-IT"/>
        </w:rPr>
      </w:pPr>
      <w:r>
        <w:rPr>
          <w:rFonts w:ascii="Roboto" w:eastAsia="Times New Roman" w:hAnsi="Roboto" w:cs="Times New Roman"/>
          <w:color w:val="4C4C4C"/>
          <w:sz w:val="18"/>
          <w:szCs w:val="18"/>
          <w:lang w:eastAsia="it-IT"/>
        </w:rPr>
        <w:br/>
      </w:r>
    </w:p>
    <w:p>
      <w:pPr>
        <w:numPr>
          <w:ilvl w:val="0"/>
          <w:numId w:val="1"/>
        </w:numPr>
        <w:shd w:val="clear" w:color="auto" w:fill="FFFFFF"/>
        <w:spacing w:after="0" w:line="240" w:lineRule="auto"/>
        <w:ind w:left="375"/>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riformulato l’art. 11 dello Statuto del contribuente che ora contempla ben cinque diverse tipologie di </w:t>
      </w:r>
      <w:proofErr w:type="spellStart"/>
      <w:r>
        <w:rPr>
          <w:rFonts w:ascii="inherit" w:eastAsia="Times New Roman" w:hAnsi="inherit" w:cs="Times New Roman"/>
          <w:i/>
          <w:iCs/>
          <w:color w:val="4C4C4C"/>
          <w:sz w:val="18"/>
          <w:szCs w:val="18"/>
          <w:bdr w:val="none" w:sz="0" w:space="0" w:color="auto" w:frame="1"/>
          <w:lang w:eastAsia="it-IT"/>
        </w:rPr>
        <w:t>ruling</w:t>
      </w:r>
      <w:proofErr w:type="spellEnd"/>
      <w:r>
        <w:rPr>
          <w:rFonts w:ascii="Roboto" w:eastAsia="Times New Roman" w:hAnsi="Roboto" w:cs="Times New Roman"/>
          <w:color w:val="4C4C4C"/>
          <w:sz w:val="18"/>
          <w:szCs w:val="18"/>
          <w:bdr w:val="none" w:sz="0" w:space="0" w:color="auto" w:frame="1"/>
          <w:lang w:eastAsia="it-IT"/>
        </w:rPr>
        <w:t>;</w:t>
      </w:r>
    </w:p>
    <w:p>
      <w:pPr>
        <w:numPr>
          <w:ilvl w:val="0"/>
          <w:numId w:val="1"/>
        </w:numPr>
        <w:shd w:val="clear" w:color="auto" w:fill="FFFFFF"/>
        <w:spacing w:after="0" w:line="240" w:lineRule="auto"/>
        <w:ind w:left="375"/>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disciplinato in modo omogeneo e razionale le varie tipologie di interpello introdotte;</w:t>
      </w:r>
    </w:p>
    <w:p>
      <w:pPr>
        <w:numPr>
          <w:ilvl w:val="0"/>
          <w:numId w:val="1"/>
        </w:numPr>
        <w:shd w:val="clear" w:color="auto" w:fill="FFFFFF"/>
        <w:spacing w:after="0" w:line="240" w:lineRule="auto"/>
        <w:ind w:left="375"/>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abrogato le disposizioni non più compatibili.</w:t>
      </w:r>
    </w:p>
    <w:p>
      <w:pPr>
        <w:spacing w:after="0" w:line="240" w:lineRule="auto"/>
        <w:rPr>
          <w:rFonts w:ascii="Times New Roman" w:eastAsia="Times New Roman" w:hAnsi="Times New Roman" w:cs="Times New Roman"/>
          <w:sz w:val="24"/>
          <w:szCs w:val="24"/>
          <w:lang w:eastAsia="it-IT"/>
        </w:rPr>
      </w:pPr>
      <w:r>
        <w:rPr>
          <w:rFonts w:ascii="Roboto" w:eastAsia="Times New Roman" w:hAnsi="Roboto" w:cs="Times New Roman"/>
          <w:color w:val="4C4C4C"/>
          <w:sz w:val="18"/>
          <w:szCs w:val="18"/>
          <w:lang w:eastAsia="it-IT"/>
        </w:rPr>
        <w:br/>
      </w:r>
    </w:p>
    <w:p>
      <w:pPr>
        <w:shd w:val="clear" w:color="auto" w:fill="FFFFFF"/>
        <w:spacing w:after="0" w:line="270" w:lineRule="atLeast"/>
        <w:jc w:val="both"/>
        <w:textAlignment w:val="baseline"/>
        <w:rPr>
          <w:rFonts w:ascii="Roboto" w:eastAsia="Times New Roman" w:hAnsi="Roboto"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 xml:space="preserve">La disciplina, in realtà, non è ancora completa nei dettagli; l’art. 8 del citato </w:t>
      </w:r>
      <w:proofErr w:type="spellStart"/>
      <w:r>
        <w:rPr>
          <w:rFonts w:ascii="Roboto" w:eastAsia="Times New Roman" w:hAnsi="Roboto" w:cs="Times New Roman"/>
          <w:color w:val="4C4C4C"/>
          <w:sz w:val="18"/>
          <w:szCs w:val="18"/>
          <w:bdr w:val="none" w:sz="0" w:space="0" w:color="auto" w:frame="1"/>
          <w:lang w:eastAsia="it-IT"/>
        </w:rPr>
        <w:t>D.Lgs</w:t>
      </w:r>
      <w:proofErr w:type="spellEnd"/>
      <w:r>
        <w:rPr>
          <w:rFonts w:ascii="Roboto" w:eastAsia="Times New Roman" w:hAnsi="Roboto" w:cs="Times New Roman"/>
          <w:color w:val="4C4C4C"/>
          <w:sz w:val="18"/>
          <w:szCs w:val="18"/>
          <w:bdr w:val="none" w:sz="0" w:space="0" w:color="auto" w:frame="1"/>
          <w:lang w:eastAsia="it-IT"/>
        </w:rPr>
        <w:t xml:space="preserve"> n. 156/2015 demanda, infatti, alla pubblicazione di appositi provvedimenti dei Direttori delle Agenzie fiscali, da emanare entro il 30 gennaio 2016, la previsione delle modalità di presentazione delle istanze, l’individuazione degli uffici cui inviare le medesime istanze e quelli da cui dovranno pervenire le relative risposte, comprese le modalità di comunicazione; i medesimi provvedimenti dovranno inoltre stabilire ogni altra regola di dettaglio concernente la procedura.</w:t>
      </w:r>
    </w:p>
    <w:p>
      <w:pPr>
        <w:spacing w:after="0" w:line="240" w:lineRule="auto"/>
        <w:rPr>
          <w:rFonts w:ascii="Times New Roman" w:eastAsia="Times New Roman" w:hAnsi="Times New Roman" w:cs="Times New Roman"/>
          <w:sz w:val="24"/>
          <w:szCs w:val="24"/>
          <w:lang w:eastAsia="it-IT"/>
        </w:rPr>
      </w:pPr>
      <w:r>
        <w:rPr>
          <w:rFonts w:ascii="Roboto" w:eastAsia="Times New Roman" w:hAnsi="Roboto" w:cs="Times New Roman"/>
          <w:color w:val="4C4C4C"/>
          <w:sz w:val="18"/>
          <w:szCs w:val="18"/>
          <w:lang w:eastAsia="it-IT"/>
        </w:rPr>
        <w:br/>
      </w:r>
    </w:p>
    <w:p>
      <w:pPr>
        <w:shd w:val="clear" w:color="auto" w:fill="FFFFFF"/>
        <w:spacing w:after="0" w:line="270" w:lineRule="atLeast"/>
        <w:jc w:val="both"/>
        <w:textAlignment w:val="baseline"/>
        <w:rPr>
          <w:rFonts w:ascii="Roboto" w:eastAsia="Times New Roman" w:hAnsi="Roboto"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Viene, infine, precisato nella citata ultima norma che per le istanze di interpello presentate prima dell'emanazione dei provvedimenti esecutivi, restano applicabili le disposizioni procedurali in vigore al momento della presentazione dell'istanza.</w:t>
      </w:r>
    </w:p>
    <w:p>
      <w:pPr>
        <w:spacing w:after="0" w:line="240" w:lineRule="auto"/>
        <w:rPr>
          <w:rFonts w:ascii="Times New Roman" w:eastAsia="Times New Roman" w:hAnsi="Times New Roman" w:cs="Times New Roman"/>
          <w:sz w:val="24"/>
          <w:szCs w:val="24"/>
          <w:lang w:eastAsia="it-IT"/>
        </w:rPr>
      </w:pPr>
      <w:r>
        <w:rPr>
          <w:rFonts w:ascii="Roboto" w:eastAsia="Times New Roman" w:hAnsi="Roboto" w:cs="Times New Roman"/>
          <w:color w:val="4C4C4C"/>
          <w:sz w:val="18"/>
          <w:szCs w:val="18"/>
          <w:lang w:eastAsia="it-IT"/>
        </w:rPr>
        <w:br/>
      </w:r>
    </w:p>
    <w:p>
      <w:pPr>
        <w:shd w:val="clear" w:color="auto" w:fill="FFFFFF"/>
        <w:spacing w:after="0" w:line="270" w:lineRule="atLeast"/>
        <w:jc w:val="both"/>
        <w:textAlignment w:val="baseline"/>
        <w:rPr>
          <w:rFonts w:ascii="Roboto" w:eastAsia="Times New Roman" w:hAnsi="Roboto"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Le nuove tipologie di interpello. </w:t>
      </w:r>
      <w:r>
        <w:rPr>
          <w:rFonts w:ascii="Roboto" w:eastAsia="Times New Roman" w:hAnsi="Roboto" w:cs="Times New Roman"/>
          <w:color w:val="4C4C4C"/>
          <w:sz w:val="18"/>
          <w:szCs w:val="18"/>
          <w:bdr w:val="none" w:sz="0" w:space="0" w:color="auto" w:frame="1"/>
          <w:lang w:eastAsia="it-IT"/>
        </w:rPr>
        <w:t xml:space="preserve">Come innanzi accennato, l’art. 1 del </w:t>
      </w:r>
      <w:proofErr w:type="spellStart"/>
      <w:r>
        <w:rPr>
          <w:rFonts w:ascii="Roboto" w:eastAsia="Times New Roman" w:hAnsi="Roboto" w:cs="Times New Roman"/>
          <w:color w:val="4C4C4C"/>
          <w:sz w:val="18"/>
          <w:szCs w:val="18"/>
          <w:bdr w:val="none" w:sz="0" w:space="0" w:color="auto" w:frame="1"/>
          <w:lang w:eastAsia="it-IT"/>
        </w:rPr>
        <w:t>D.Lgs</w:t>
      </w:r>
      <w:proofErr w:type="spellEnd"/>
      <w:r>
        <w:rPr>
          <w:rFonts w:ascii="Roboto" w:eastAsia="Times New Roman" w:hAnsi="Roboto" w:cs="Times New Roman"/>
          <w:color w:val="4C4C4C"/>
          <w:sz w:val="18"/>
          <w:szCs w:val="18"/>
          <w:bdr w:val="none" w:sz="0" w:space="0" w:color="auto" w:frame="1"/>
          <w:lang w:eastAsia="it-IT"/>
        </w:rPr>
        <w:t xml:space="preserve"> n. 156/2015, riformula </w:t>
      </w:r>
      <w:r>
        <w:rPr>
          <w:rFonts w:ascii="inherit" w:eastAsia="Times New Roman" w:hAnsi="inherit" w:cs="Times New Roman"/>
          <w:i/>
          <w:iCs/>
          <w:color w:val="4C4C4C"/>
          <w:sz w:val="18"/>
          <w:szCs w:val="18"/>
          <w:bdr w:val="none" w:sz="0" w:space="0" w:color="auto" w:frame="1"/>
          <w:lang w:eastAsia="it-IT"/>
        </w:rPr>
        <w:t>in toto</w:t>
      </w:r>
      <w:r>
        <w:rPr>
          <w:rFonts w:ascii="Roboto" w:eastAsia="Times New Roman" w:hAnsi="Roboto" w:cs="Times New Roman"/>
          <w:color w:val="4C4C4C"/>
          <w:sz w:val="18"/>
          <w:szCs w:val="18"/>
          <w:bdr w:val="none" w:sz="0" w:space="0" w:color="auto" w:frame="1"/>
          <w:lang w:eastAsia="it-IT"/>
        </w:rPr>
        <w:t> l’art. 11 della Legge n. 212/2000, rubricato “</w:t>
      </w:r>
      <w:r>
        <w:rPr>
          <w:rFonts w:ascii="inherit" w:eastAsia="Times New Roman" w:hAnsi="inherit" w:cs="Times New Roman"/>
          <w:b/>
          <w:bCs/>
          <w:color w:val="4C4C4C"/>
          <w:sz w:val="18"/>
          <w:szCs w:val="18"/>
          <w:bdr w:val="none" w:sz="0" w:space="0" w:color="auto" w:frame="1"/>
          <w:lang w:eastAsia="it-IT"/>
        </w:rPr>
        <w:t>Diritto di interpello</w:t>
      </w:r>
      <w:r>
        <w:rPr>
          <w:rFonts w:ascii="Roboto" w:eastAsia="Times New Roman" w:hAnsi="Roboto" w:cs="Times New Roman"/>
          <w:color w:val="4C4C4C"/>
          <w:sz w:val="18"/>
          <w:szCs w:val="18"/>
          <w:bdr w:val="none" w:sz="0" w:space="0" w:color="auto" w:frame="1"/>
          <w:lang w:eastAsia="it-IT"/>
        </w:rPr>
        <w:t>”, prevedendo cinque diverse tipologie di </w:t>
      </w:r>
      <w:proofErr w:type="spellStart"/>
      <w:r>
        <w:rPr>
          <w:rFonts w:ascii="inherit" w:eastAsia="Times New Roman" w:hAnsi="inherit" w:cs="Times New Roman"/>
          <w:i/>
          <w:iCs/>
          <w:color w:val="4C4C4C"/>
          <w:sz w:val="18"/>
          <w:szCs w:val="18"/>
          <w:bdr w:val="none" w:sz="0" w:space="0" w:color="auto" w:frame="1"/>
          <w:lang w:eastAsia="it-IT"/>
        </w:rPr>
        <w:t>ruling</w:t>
      </w:r>
      <w:proofErr w:type="spellEnd"/>
      <w:r>
        <w:rPr>
          <w:rFonts w:ascii="inherit" w:eastAsia="Times New Roman" w:hAnsi="inherit" w:cs="Times New Roman"/>
          <w:i/>
          <w:iCs/>
          <w:color w:val="4C4C4C"/>
          <w:sz w:val="18"/>
          <w:szCs w:val="18"/>
          <w:bdr w:val="none" w:sz="0" w:space="0" w:color="auto" w:frame="1"/>
          <w:lang w:eastAsia="it-IT"/>
        </w:rPr>
        <w:t xml:space="preserve"> interno</w:t>
      </w:r>
      <w:r>
        <w:rPr>
          <w:rFonts w:ascii="Roboto" w:eastAsia="Times New Roman" w:hAnsi="Roboto" w:cs="Times New Roman"/>
          <w:color w:val="4C4C4C"/>
          <w:sz w:val="18"/>
          <w:szCs w:val="18"/>
          <w:bdr w:val="none" w:sz="0" w:space="0" w:color="auto" w:frame="1"/>
          <w:lang w:eastAsia="it-IT"/>
        </w:rPr>
        <w:t>, a ciascuna delle quali, peraltro, corrispondono tempi specifici di riposta.</w:t>
      </w:r>
    </w:p>
    <w:p>
      <w:pPr>
        <w:spacing w:after="0" w:line="240" w:lineRule="auto"/>
        <w:rPr>
          <w:rFonts w:ascii="Times New Roman" w:eastAsia="Times New Roman" w:hAnsi="Times New Roman" w:cs="Times New Roman"/>
          <w:sz w:val="24"/>
          <w:szCs w:val="24"/>
          <w:lang w:eastAsia="it-IT"/>
        </w:rPr>
      </w:pPr>
      <w:r>
        <w:rPr>
          <w:rFonts w:ascii="Roboto" w:eastAsia="Times New Roman" w:hAnsi="Roboto" w:cs="Times New Roman"/>
          <w:color w:val="4C4C4C"/>
          <w:sz w:val="18"/>
          <w:szCs w:val="18"/>
          <w:lang w:eastAsia="it-IT"/>
        </w:rPr>
        <w:br/>
      </w:r>
    </w:p>
    <w:p>
      <w:pPr>
        <w:shd w:val="clear" w:color="auto" w:fill="FFFFFF"/>
        <w:spacing w:after="0" w:line="270" w:lineRule="atLeast"/>
        <w:jc w:val="both"/>
        <w:textAlignment w:val="baseline"/>
        <w:rPr>
          <w:rFonts w:ascii="Roboto" w:eastAsia="Times New Roman" w:hAnsi="Roboto"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Interpello ordinario.</w:t>
      </w:r>
      <w:r>
        <w:rPr>
          <w:rFonts w:ascii="Roboto" w:eastAsia="Times New Roman" w:hAnsi="Roboto" w:cs="Times New Roman"/>
          <w:color w:val="4C4C4C"/>
          <w:sz w:val="18"/>
          <w:szCs w:val="18"/>
          <w:bdr w:val="none" w:sz="0" w:space="0" w:color="auto" w:frame="1"/>
          <w:lang w:eastAsia="it-IT"/>
        </w:rPr>
        <w:t> L’istituto, previsto dal comma 1, lettera a), dell’articolo 11 Legge 212/2000, mantiene sostanzialmente la struttura dell’”interpello ordinario” di cui al vigente art. 11. L’istanza è volta ad ottenere un parere quando sussistano </w:t>
      </w:r>
      <w:r>
        <w:rPr>
          <w:rFonts w:ascii="inherit" w:eastAsia="Times New Roman" w:hAnsi="inherit" w:cs="Times New Roman"/>
          <w:color w:val="4C4C4C"/>
          <w:sz w:val="18"/>
          <w:szCs w:val="18"/>
          <w:u w:val="single"/>
          <w:bdr w:val="none" w:sz="0" w:space="0" w:color="auto" w:frame="1"/>
          <w:lang w:eastAsia="it-IT"/>
        </w:rPr>
        <w:t>obiettive condizioni di incertezza sull’interpretazione di disposizioni tributarie</w:t>
      </w:r>
      <w:r>
        <w:rPr>
          <w:rFonts w:ascii="Roboto" w:eastAsia="Times New Roman" w:hAnsi="Roboto" w:cs="Times New Roman"/>
          <w:color w:val="4C4C4C"/>
          <w:sz w:val="18"/>
          <w:szCs w:val="18"/>
          <w:bdr w:val="none" w:sz="0" w:space="0" w:color="auto" w:frame="1"/>
          <w:lang w:eastAsia="it-IT"/>
        </w:rPr>
        <w:t>, in relazione alla loro applicazione a casi concreti e personali. Tale tipologia di interpello, in sostanza, può essere attivata in relazione a qualsiasi disposizione tributaria che si presenti obiettivamente incerta nella sua applicazione alla fattispecie concreta e personale; l’amministrazione risponde in 90 giorni.</w:t>
      </w:r>
    </w:p>
    <w:p>
      <w:pPr>
        <w:spacing w:after="0" w:line="240" w:lineRule="auto"/>
        <w:rPr>
          <w:rFonts w:ascii="Times New Roman" w:eastAsia="Times New Roman" w:hAnsi="Times New Roman" w:cs="Times New Roman"/>
          <w:sz w:val="24"/>
          <w:szCs w:val="24"/>
          <w:lang w:eastAsia="it-IT"/>
        </w:rPr>
      </w:pPr>
      <w:r>
        <w:rPr>
          <w:rFonts w:ascii="Roboto" w:eastAsia="Times New Roman" w:hAnsi="Roboto" w:cs="Times New Roman"/>
          <w:color w:val="4C4C4C"/>
          <w:sz w:val="18"/>
          <w:szCs w:val="18"/>
          <w:lang w:eastAsia="it-IT"/>
        </w:rPr>
        <w:br/>
      </w:r>
    </w:p>
    <w:p>
      <w:pPr>
        <w:shd w:val="clear" w:color="auto" w:fill="FFFFFF"/>
        <w:spacing w:after="0" w:line="270" w:lineRule="atLeast"/>
        <w:jc w:val="both"/>
        <w:textAlignment w:val="baseline"/>
        <w:rPr>
          <w:rFonts w:ascii="Roboto" w:eastAsia="Times New Roman" w:hAnsi="Roboto"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 xml:space="preserve">Interpello </w:t>
      </w:r>
      <w:proofErr w:type="spellStart"/>
      <w:r>
        <w:rPr>
          <w:rFonts w:ascii="Roboto" w:eastAsia="Times New Roman" w:hAnsi="Roboto" w:cs="Times New Roman"/>
          <w:b/>
          <w:bCs/>
          <w:color w:val="4C4C4C"/>
          <w:sz w:val="18"/>
          <w:szCs w:val="18"/>
          <w:bdr w:val="none" w:sz="0" w:space="0" w:color="auto" w:frame="1"/>
          <w:lang w:eastAsia="it-IT"/>
        </w:rPr>
        <w:t>qualificatorio</w:t>
      </w:r>
      <w:proofErr w:type="spellEnd"/>
      <w:r>
        <w:rPr>
          <w:rFonts w:ascii="Roboto" w:eastAsia="Times New Roman" w:hAnsi="Roboto" w:cs="Times New Roman"/>
          <w:b/>
          <w:bCs/>
          <w:color w:val="4C4C4C"/>
          <w:sz w:val="18"/>
          <w:szCs w:val="18"/>
          <w:bdr w:val="none" w:sz="0" w:space="0" w:color="auto" w:frame="1"/>
          <w:lang w:eastAsia="it-IT"/>
        </w:rPr>
        <w:t>.</w:t>
      </w:r>
      <w:r>
        <w:rPr>
          <w:rFonts w:ascii="Roboto" w:eastAsia="Times New Roman" w:hAnsi="Roboto" w:cs="Times New Roman"/>
          <w:color w:val="4C4C4C"/>
          <w:sz w:val="18"/>
          <w:szCs w:val="18"/>
          <w:bdr w:val="none" w:sz="0" w:space="0" w:color="auto" w:frame="1"/>
          <w:lang w:eastAsia="it-IT"/>
        </w:rPr>
        <w:t> La nuova tipologia di </w:t>
      </w:r>
      <w:proofErr w:type="spellStart"/>
      <w:r>
        <w:rPr>
          <w:rFonts w:ascii="inherit" w:eastAsia="Times New Roman" w:hAnsi="inherit" w:cs="Times New Roman"/>
          <w:i/>
          <w:iCs/>
          <w:color w:val="4C4C4C"/>
          <w:sz w:val="18"/>
          <w:szCs w:val="18"/>
          <w:bdr w:val="none" w:sz="0" w:space="0" w:color="auto" w:frame="1"/>
          <w:lang w:eastAsia="it-IT"/>
        </w:rPr>
        <w:t>ruling</w:t>
      </w:r>
      <w:proofErr w:type="spellEnd"/>
      <w:r>
        <w:rPr>
          <w:rFonts w:ascii="Roboto" w:eastAsia="Times New Roman" w:hAnsi="Roboto" w:cs="Times New Roman"/>
          <w:color w:val="4C4C4C"/>
          <w:sz w:val="18"/>
          <w:szCs w:val="18"/>
          <w:bdr w:val="none" w:sz="0" w:space="0" w:color="auto" w:frame="1"/>
          <w:lang w:eastAsia="it-IT"/>
        </w:rPr>
        <w:t>, ugualmente prevista dal comma 1, lettera a) dell’art. 11, si presenta in via complementare rispetto all’interpello ordinario, da cui differisce per il rilievo che assume la valutazione della fattispecie obiettivamente incerta rispetto all’interpretazione delle norme di legge invocate dal contribuente nel caso concreto. Con tale strumento, il contribuente potrà chiedere all’Amministrazione finanziaria un parere non tanto in relazione all’applicazione delle disposizioni, quanto in ordine alla “</w:t>
      </w:r>
      <w:r>
        <w:rPr>
          <w:rFonts w:ascii="inherit" w:eastAsia="Times New Roman" w:hAnsi="inherit" w:cs="Times New Roman"/>
          <w:b/>
          <w:bCs/>
          <w:color w:val="4C4C4C"/>
          <w:sz w:val="18"/>
          <w:szCs w:val="18"/>
          <w:bdr w:val="none" w:sz="0" w:space="0" w:color="auto" w:frame="1"/>
          <w:lang w:eastAsia="it-IT"/>
        </w:rPr>
        <w:t>corretta qualificazione delle fattispecie</w:t>
      </w:r>
      <w:r>
        <w:rPr>
          <w:rFonts w:ascii="Roboto" w:eastAsia="Times New Roman" w:hAnsi="Roboto" w:cs="Times New Roman"/>
          <w:color w:val="4C4C4C"/>
          <w:sz w:val="18"/>
          <w:szCs w:val="18"/>
          <w:bdr w:val="none" w:sz="0" w:space="0" w:color="auto" w:frame="1"/>
          <w:lang w:eastAsia="it-IT"/>
        </w:rPr>
        <w:t>”, anche in tal caso quando sussistano obiettive condizioni di incertezza alla luce delle disposizioni tributarie applicabili alle medesime. Anche la risposta a tale tipologia di interpello è prevista in 90 giorni.</w:t>
      </w:r>
    </w:p>
    <w:p>
      <w:pPr>
        <w:spacing w:after="0" w:line="240" w:lineRule="auto"/>
        <w:rPr>
          <w:rFonts w:ascii="Times New Roman" w:eastAsia="Times New Roman" w:hAnsi="Times New Roman" w:cs="Times New Roman"/>
          <w:sz w:val="24"/>
          <w:szCs w:val="24"/>
          <w:lang w:eastAsia="it-IT"/>
        </w:rPr>
      </w:pPr>
      <w:r>
        <w:rPr>
          <w:rFonts w:ascii="Roboto" w:eastAsia="Times New Roman" w:hAnsi="Roboto" w:cs="Times New Roman"/>
          <w:color w:val="4C4C4C"/>
          <w:sz w:val="18"/>
          <w:szCs w:val="18"/>
          <w:lang w:eastAsia="it-IT"/>
        </w:rPr>
        <w:br/>
      </w:r>
    </w:p>
    <w:p>
      <w:pPr>
        <w:shd w:val="clear" w:color="auto" w:fill="FFFFFF"/>
        <w:spacing w:after="0" w:line="270" w:lineRule="atLeast"/>
        <w:jc w:val="both"/>
        <w:textAlignment w:val="baseline"/>
        <w:rPr>
          <w:rFonts w:ascii="Roboto" w:eastAsia="Times New Roman" w:hAnsi="Roboto"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Interpello probatorio.</w:t>
      </w:r>
      <w:r>
        <w:rPr>
          <w:rFonts w:ascii="Roboto" w:eastAsia="Times New Roman" w:hAnsi="Roboto" w:cs="Times New Roman"/>
          <w:color w:val="4C4C4C"/>
          <w:sz w:val="18"/>
          <w:szCs w:val="18"/>
          <w:bdr w:val="none" w:sz="0" w:space="0" w:color="auto" w:frame="1"/>
          <w:lang w:eastAsia="it-IT"/>
        </w:rPr>
        <w:t xml:space="preserve"> Lo strumento, previsto dalla successiva </w:t>
      </w:r>
      <w:proofErr w:type="spellStart"/>
      <w:r>
        <w:rPr>
          <w:rFonts w:ascii="Roboto" w:eastAsia="Times New Roman" w:hAnsi="Roboto" w:cs="Times New Roman"/>
          <w:color w:val="4C4C4C"/>
          <w:sz w:val="18"/>
          <w:szCs w:val="18"/>
          <w:bdr w:val="none" w:sz="0" w:space="0" w:color="auto" w:frame="1"/>
          <w:lang w:eastAsia="it-IT"/>
        </w:rPr>
        <w:t>lett</w:t>
      </w:r>
      <w:proofErr w:type="spellEnd"/>
      <w:r>
        <w:rPr>
          <w:rFonts w:ascii="Roboto" w:eastAsia="Times New Roman" w:hAnsi="Roboto" w:cs="Times New Roman"/>
          <w:color w:val="4C4C4C"/>
          <w:sz w:val="18"/>
          <w:szCs w:val="18"/>
          <w:bdr w:val="none" w:sz="0" w:space="0" w:color="auto" w:frame="1"/>
          <w:lang w:eastAsia="it-IT"/>
        </w:rPr>
        <w:t>. b) del medesimo comma 1, si rende applicabile ad una categoria molto ampia di situazioni, andando a sostituire, di fatto, diverse istanze attualmente previste dall’ordinamento tributario (come ad esempio quelle previste dall’art. 11, comma 13 della Legge n. 413/1991 e l’istanza di interpello delle C.F.C.); la richiesta è finalizzata ad ottenere un parere </w:t>
      </w:r>
      <w:r>
        <w:rPr>
          <w:rFonts w:ascii="inherit" w:eastAsia="Times New Roman" w:hAnsi="inherit" w:cs="Times New Roman"/>
          <w:color w:val="4C4C4C"/>
          <w:sz w:val="18"/>
          <w:szCs w:val="18"/>
          <w:u w:val="single"/>
          <w:bdr w:val="none" w:sz="0" w:space="0" w:color="auto" w:frame="1"/>
          <w:lang w:eastAsia="it-IT"/>
        </w:rPr>
        <w:t>sulla sussistenza delle condizioni o sull’idoneità degli elementi probatori</w:t>
      </w:r>
      <w:r>
        <w:rPr>
          <w:rFonts w:ascii="Roboto" w:eastAsia="Times New Roman" w:hAnsi="Roboto" w:cs="Times New Roman"/>
          <w:color w:val="4C4C4C"/>
          <w:sz w:val="18"/>
          <w:szCs w:val="18"/>
          <w:bdr w:val="none" w:sz="0" w:space="0" w:color="auto" w:frame="1"/>
          <w:lang w:eastAsia="it-IT"/>
        </w:rPr>
        <w:t> offerti dal contribuente, ai fini dell’adozione di un determinato regime fiscale. La risposta dell’Amministrazione, in tal caso, è prevista in 120 giorni.</w:t>
      </w:r>
    </w:p>
    <w:p>
      <w:pPr>
        <w:spacing w:after="0" w:line="240" w:lineRule="auto"/>
        <w:rPr>
          <w:rFonts w:ascii="Times New Roman" w:eastAsia="Times New Roman" w:hAnsi="Times New Roman" w:cs="Times New Roman"/>
          <w:sz w:val="24"/>
          <w:szCs w:val="24"/>
          <w:lang w:eastAsia="it-IT"/>
        </w:rPr>
      </w:pPr>
      <w:r>
        <w:rPr>
          <w:rFonts w:ascii="Roboto" w:eastAsia="Times New Roman" w:hAnsi="Roboto" w:cs="Times New Roman"/>
          <w:color w:val="4C4C4C"/>
          <w:sz w:val="18"/>
          <w:szCs w:val="18"/>
          <w:lang w:eastAsia="it-IT"/>
        </w:rPr>
        <w:br/>
      </w:r>
    </w:p>
    <w:p>
      <w:pPr>
        <w:shd w:val="clear" w:color="auto" w:fill="FFFFFF"/>
        <w:spacing w:after="0" w:line="270" w:lineRule="atLeast"/>
        <w:jc w:val="both"/>
        <w:textAlignment w:val="baseline"/>
        <w:rPr>
          <w:rFonts w:ascii="Roboto" w:eastAsia="Times New Roman" w:hAnsi="Roboto"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Interpello anti-abuso.</w:t>
      </w:r>
      <w:r>
        <w:rPr>
          <w:rFonts w:ascii="Roboto" w:eastAsia="Times New Roman" w:hAnsi="Roboto" w:cs="Times New Roman"/>
          <w:color w:val="4C4C4C"/>
          <w:sz w:val="18"/>
          <w:szCs w:val="18"/>
          <w:bdr w:val="none" w:sz="0" w:space="0" w:color="auto" w:frame="1"/>
          <w:lang w:eastAsia="it-IT"/>
        </w:rPr>
        <w:t> Tale forma di </w:t>
      </w:r>
      <w:proofErr w:type="spellStart"/>
      <w:r>
        <w:rPr>
          <w:rFonts w:ascii="inherit" w:eastAsia="Times New Roman" w:hAnsi="inherit" w:cs="Times New Roman"/>
          <w:i/>
          <w:iCs/>
          <w:color w:val="4C4C4C"/>
          <w:sz w:val="18"/>
          <w:szCs w:val="18"/>
          <w:bdr w:val="none" w:sz="0" w:space="0" w:color="auto" w:frame="1"/>
          <w:lang w:eastAsia="it-IT"/>
        </w:rPr>
        <w:t>ruling</w:t>
      </w:r>
      <w:proofErr w:type="spellEnd"/>
      <w:r>
        <w:rPr>
          <w:rFonts w:ascii="Roboto" w:eastAsia="Times New Roman" w:hAnsi="Roboto" w:cs="Times New Roman"/>
          <w:color w:val="4C4C4C"/>
          <w:sz w:val="18"/>
          <w:szCs w:val="18"/>
          <w:bdr w:val="none" w:sz="0" w:space="0" w:color="auto" w:frame="1"/>
          <w:lang w:eastAsia="it-IT"/>
        </w:rPr>
        <w:t xml:space="preserve">, prevista dalla </w:t>
      </w:r>
      <w:proofErr w:type="spellStart"/>
      <w:r>
        <w:rPr>
          <w:rFonts w:ascii="Roboto" w:eastAsia="Times New Roman" w:hAnsi="Roboto" w:cs="Times New Roman"/>
          <w:color w:val="4C4C4C"/>
          <w:sz w:val="18"/>
          <w:szCs w:val="18"/>
          <w:bdr w:val="none" w:sz="0" w:space="0" w:color="auto" w:frame="1"/>
          <w:lang w:eastAsia="it-IT"/>
        </w:rPr>
        <w:t>lett</w:t>
      </w:r>
      <w:proofErr w:type="spellEnd"/>
      <w:r>
        <w:rPr>
          <w:rFonts w:ascii="Roboto" w:eastAsia="Times New Roman" w:hAnsi="Roboto" w:cs="Times New Roman"/>
          <w:color w:val="4C4C4C"/>
          <w:sz w:val="18"/>
          <w:szCs w:val="18"/>
          <w:bdr w:val="none" w:sz="0" w:space="0" w:color="auto" w:frame="1"/>
          <w:lang w:eastAsia="it-IT"/>
        </w:rPr>
        <w:t>. c) del comma 1 in commento, è destinata ad assorbire le principali fattispecie ricomprese nel campo di applicazione dell’interpello antielusivo di cui al vigente art. 21 della Legge n. 413/1991; costituisce, peraltro, il nuovo strumento, già previsto nel nuovo art. 10-bis dello Statuto dei diritti del contribuente</w:t>
      </w:r>
      <w:bookmarkStart w:id="0" w:name="_ftnref1"/>
      <w:r>
        <w:rPr>
          <w:rFonts w:ascii="Roboto" w:eastAsia="Times New Roman" w:hAnsi="Roboto" w:cs="Times New Roman"/>
          <w:color w:val="4C4C4C"/>
          <w:sz w:val="18"/>
          <w:szCs w:val="18"/>
          <w:bdr w:val="none" w:sz="0" w:space="0" w:color="auto" w:frame="1"/>
          <w:lang w:eastAsia="it-IT"/>
        </w:rPr>
        <w:fldChar w:fldCharType="begin"/>
      </w:r>
      <w:r>
        <w:rPr>
          <w:rFonts w:ascii="Roboto" w:eastAsia="Times New Roman" w:hAnsi="Roboto" w:cs="Times New Roman"/>
          <w:color w:val="4C4C4C"/>
          <w:sz w:val="18"/>
          <w:szCs w:val="18"/>
          <w:bdr w:val="none" w:sz="0" w:space="0" w:color="auto" w:frame="1"/>
          <w:lang w:eastAsia="it-IT"/>
        </w:rPr>
        <w:instrText xml:space="preserve"> HYPERLINK "file:///\\\\win-server\\Archivio%20Utenti\\Cartella-Condivisa%20(INFORMAT-NAS)\\REVISIONE%20FISCAL%20E%20ARTICOLI\\articoli%20da%20leggere\\31-10\\LETTO%20%20la%20revisione%20degli%20interpelli%20(1).docx" \l "_ftn1" \o "" </w:instrText>
      </w:r>
      <w:r>
        <w:rPr>
          <w:rFonts w:ascii="Roboto" w:eastAsia="Times New Roman" w:hAnsi="Roboto" w:cs="Times New Roman"/>
          <w:color w:val="4C4C4C"/>
          <w:sz w:val="18"/>
          <w:szCs w:val="18"/>
          <w:bdr w:val="none" w:sz="0" w:space="0" w:color="auto" w:frame="1"/>
          <w:lang w:eastAsia="it-IT"/>
        </w:rPr>
        <w:fldChar w:fldCharType="separate"/>
      </w:r>
      <w:r>
        <w:rPr>
          <w:rFonts w:ascii="inherit" w:eastAsia="Times New Roman" w:hAnsi="inherit" w:cs="Times New Roman"/>
          <w:color w:val="194265"/>
          <w:sz w:val="14"/>
          <w:szCs w:val="14"/>
          <w:u w:val="single"/>
          <w:bdr w:val="none" w:sz="0" w:space="0" w:color="auto" w:frame="1"/>
          <w:vertAlign w:val="superscript"/>
          <w:lang w:eastAsia="it-IT"/>
        </w:rPr>
        <w:t>1</w:t>
      </w:r>
      <w:r>
        <w:rPr>
          <w:rFonts w:ascii="Roboto" w:eastAsia="Times New Roman" w:hAnsi="Roboto" w:cs="Times New Roman"/>
          <w:color w:val="4C4C4C"/>
          <w:sz w:val="18"/>
          <w:szCs w:val="18"/>
          <w:bdr w:val="none" w:sz="0" w:space="0" w:color="auto" w:frame="1"/>
          <w:lang w:eastAsia="it-IT"/>
        </w:rPr>
        <w:fldChar w:fldCharType="end"/>
      </w:r>
      <w:bookmarkEnd w:id="0"/>
      <w:r>
        <w:rPr>
          <w:rFonts w:ascii="Roboto" w:eastAsia="Times New Roman" w:hAnsi="Roboto" w:cs="Times New Roman"/>
          <w:color w:val="4C4C4C"/>
          <w:sz w:val="18"/>
          <w:szCs w:val="18"/>
          <w:bdr w:val="none" w:sz="0" w:space="0" w:color="auto" w:frame="1"/>
          <w:lang w:eastAsia="it-IT"/>
        </w:rPr>
        <w:t xml:space="preserve">, che ha codificato </w:t>
      </w:r>
      <w:r>
        <w:rPr>
          <w:rFonts w:ascii="Roboto" w:eastAsia="Times New Roman" w:hAnsi="Roboto" w:cs="Times New Roman"/>
          <w:color w:val="4C4C4C"/>
          <w:sz w:val="18"/>
          <w:szCs w:val="18"/>
          <w:bdr w:val="none" w:sz="0" w:space="0" w:color="auto" w:frame="1"/>
          <w:lang w:eastAsia="it-IT"/>
        </w:rPr>
        <w:lastRenderedPageBreak/>
        <w:t>la controversa fattispecie dell’abuso del diritto, attraverso il quale il contribuente può chiedere all’Amministrazione </w:t>
      </w:r>
      <w:r>
        <w:rPr>
          <w:rFonts w:ascii="inherit" w:eastAsia="Times New Roman" w:hAnsi="inherit" w:cs="Times New Roman"/>
          <w:color w:val="4C4C4C"/>
          <w:sz w:val="18"/>
          <w:szCs w:val="18"/>
          <w:u w:val="single"/>
          <w:bdr w:val="none" w:sz="0" w:space="0" w:color="auto" w:frame="1"/>
          <w:lang w:eastAsia="it-IT"/>
        </w:rPr>
        <w:t>se le operazioni che intende realizzare costituiscano fattispecie di abuso del diritto</w:t>
      </w:r>
      <w:r>
        <w:rPr>
          <w:rFonts w:ascii="Roboto" w:eastAsia="Times New Roman" w:hAnsi="Roboto" w:cs="Times New Roman"/>
          <w:color w:val="4C4C4C"/>
          <w:sz w:val="18"/>
          <w:szCs w:val="18"/>
          <w:bdr w:val="none" w:sz="0" w:space="0" w:color="auto" w:frame="1"/>
          <w:lang w:eastAsia="it-IT"/>
        </w:rPr>
        <w:t>. Tale istituto può essere attivato dal contribuente anche per conoscere il parere dell’Amministrazione in relazione alle ipotesi di interposizione, ai sensi dell’art. 37, comma 3 del D.P.R. n. 600/1973. La risposta dell’Amministrazione a tale tipologia di interpello deve arrivare entro 120 giorni.</w:t>
      </w:r>
    </w:p>
    <w:p>
      <w:pPr>
        <w:spacing w:after="0" w:line="240" w:lineRule="auto"/>
        <w:rPr>
          <w:rFonts w:ascii="Times New Roman" w:eastAsia="Times New Roman" w:hAnsi="Times New Roman" w:cs="Times New Roman"/>
          <w:sz w:val="24"/>
          <w:szCs w:val="24"/>
          <w:lang w:eastAsia="it-IT"/>
        </w:rPr>
      </w:pPr>
      <w:r>
        <w:rPr>
          <w:rFonts w:ascii="Roboto" w:eastAsia="Times New Roman" w:hAnsi="Roboto" w:cs="Times New Roman"/>
          <w:color w:val="4C4C4C"/>
          <w:sz w:val="18"/>
          <w:szCs w:val="18"/>
          <w:lang w:eastAsia="it-IT"/>
        </w:rPr>
        <w:br/>
      </w:r>
    </w:p>
    <w:p>
      <w:pPr>
        <w:shd w:val="clear" w:color="auto" w:fill="FFFFFF"/>
        <w:spacing w:after="0" w:line="270" w:lineRule="atLeast"/>
        <w:jc w:val="both"/>
        <w:textAlignment w:val="baseline"/>
        <w:rPr>
          <w:rFonts w:ascii="Roboto" w:eastAsia="Times New Roman" w:hAnsi="Roboto"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 xml:space="preserve">Interpello </w:t>
      </w:r>
      <w:proofErr w:type="spellStart"/>
      <w:r>
        <w:rPr>
          <w:rFonts w:ascii="Roboto" w:eastAsia="Times New Roman" w:hAnsi="Roboto" w:cs="Times New Roman"/>
          <w:b/>
          <w:bCs/>
          <w:color w:val="4C4C4C"/>
          <w:sz w:val="18"/>
          <w:szCs w:val="18"/>
          <w:bdr w:val="none" w:sz="0" w:space="0" w:color="auto" w:frame="1"/>
          <w:lang w:eastAsia="it-IT"/>
        </w:rPr>
        <w:t>disapplicativo</w:t>
      </w:r>
      <w:proofErr w:type="spellEnd"/>
      <w:r>
        <w:rPr>
          <w:rFonts w:ascii="Roboto" w:eastAsia="Times New Roman" w:hAnsi="Roboto" w:cs="Times New Roman"/>
          <w:b/>
          <w:bCs/>
          <w:color w:val="4C4C4C"/>
          <w:sz w:val="18"/>
          <w:szCs w:val="18"/>
          <w:bdr w:val="none" w:sz="0" w:space="0" w:color="auto" w:frame="1"/>
          <w:lang w:eastAsia="it-IT"/>
        </w:rPr>
        <w:t>.</w:t>
      </w:r>
      <w:r>
        <w:rPr>
          <w:rFonts w:ascii="Roboto" w:eastAsia="Times New Roman" w:hAnsi="Roboto" w:cs="Times New Roman"/>
          <w:color w:val="4C4C4C"/>
          <w:sz w:val="18"/>
          <w:szCs w:val="18"/>
          <w:bdr w:val="none" w:sz="0" w:space="0" w:color="auto" w:frame="1"/>
          <w:lang w:eastAsia="it-IT"/>
        </w:rPr>
        <w:t> L’ultima forma di interpello, disciplinata dal comma 2 dell’art. 11 in argomento, corrisponde a quella attualmente disciplinata dall’art. 37-bis, comma 8 del D.P.R. n. 600/1973, il quale consente al contribuente di chiedere all’Amministrazione un parere in ordine alla </w:t>
      </w:r>
      <w:r>
        <w:rPr>
          <w:rFonts w:ascii="inherit" w:eastAsia="Times New Roman" w:hAnsi="inherit" w:cs="Times New Roman"/>
          <w:color w:val="4C4C4C"/>
          <w:sz w:val="18"/>
          <w:szCs w:val="18"/>
          <w:u w:val="single"/>
          <w:bdr w:val="none" w:sz="0" w:space="0" w:color="auto" w:frame="1"/>
          <w:lang w:eastAsia="it-IT"/>
        </w:rPr>
        <w:t>sussistenza delle condizioni che legittimano la disapplicazione di norme tributarie</w:t>
      </w:r>
      <w:r>
        <w:rPr>
          <w:rFonts w:ascii="Roboto" w:eastAsia="Times New Roman" w:hAnsi="Roboto" w:cs="Times New Roman"/>
          <w:color w:val="4C4C4C"/>
          <w:sz w:val="18"/>
          <w:szCs w:val="18"/>
          <w:bdr w:val="none" w:sz="0" w:space="0" w:color="auto" w:frame="1"/>
          <w:lang w:eastAsia="it-IT"/>
        </w:rPr>
        <w:t> che, allo scopo di contrastare comportamenti elusivi, limitano deduzioni, detrazioni, crediti d’imposta o altre posizioni soggettive del soggetto passivo. Nello stesso comma viene riportata la precisazione che la presentazione o la mancata presentazione dell’</w:t>
      </w:r>
      <w:proofErr w:type="spellStart"/>
      <w:r>
        <w:rPr>
          <w:rFonts w:ascii="Roboto" w:eastAsia="Times New Roman" w:hAnsi="Roboto" w:cs="Times New Roman"/>
          <w:color w:val="4C4C4C"/>
          <w:sz w:val="18"/>
          <w:szCs w:val="18"/>
          <w:bdr w:val="none" w:sz="0" w:space="0" w:color="auto" w:frame="1"/>
          <w:lang w:eastAsia="it-IT"/>
        </w:rPr>
        <w:t>istanza</w:t>
      </w:r>
      <w:r>
        <w:rPr>
          <w:rFonts w:ascii="inherit" w:eastAsia="Times New Roman" w:hAnsi="inherit" w:cs="Times New Roman"/>
          <w:i/>
          <w:iCs/>
          <w:color w:val="4C4C4C"/>
          <w:sz w:val="18"/>
          <w:szCs w:val="18"/>
          <w:bdr w:val="none" w:sz="0" w:space="0" w:color="auto" w:frame="1"/>
          <w:lang w:eastAsia="it-IT"/>
        </w:rPr>
        <w:t>de</w:t>
      </w:r>
      <w:proofErr w:type="spellEnd"/>
      <w:r>
        <w:rPr>
          <w:rFonts w:ascii="inherit" w:eastAsia="Times New Roman" w:hAnsi="inherit" w:cs="Times New Roman"/>
          <w:i/>
          <w:iCs/>
          <w:color w:val="4C4C4C"/>
          <w:sz w:val="18"/>
          <w:szCs w:val="18"/>
          <w:bdr w:val="none" w:sz="0" w:space="0" w:color="auto" w:frame="1"/>
          <w:lang w:eastAsia="it-IT"/>
        </w:rPr>
        <w:t xml:space="preserve"> qua</w:t>
      </w:r>
      <w:r>
        <w:rPr>
          <w:rFonts w:ascii="Roboto" w:eastAsia="Times New Roman" w:hAnsi="Roboto" w:cs="Times New Roman"/>
          <w:color w:val="4C4C4C"/>
          <w:sz w:val="18"/>
          <w:szCs w:val="18"/>
          <w:bdr w:val="none" w:sz="0" w:space="0" w:color="auto" w:frame="1"/>
          <w:lang w:eastAsia="it-IT"/>
        </w:rPr>
        <w:t> non pregiudicano, in nessun caso, la possibilità per il contribuente di fornire la dimostrazione della spettanza della disapplicazione anche nelle successive fasi dell’accertamento amministrativo e del contenzioso. Peraltro, in caso di risposta negativa è prevista la possibilità della sua impugnazione “differita”, ossia unitamente al ricorso avverso l’avviso di accertamento. La risposta dell’Amministrazione a tale tipologia di interpello deve arrivare entro 120 giorni.</w:t>
      </w:r>
    </w:p>
    <w:p>
      <w:pPr>
        <w:spacing w:after="0" w:line="240" w:lineRule="auto"/>
        <w:rPr>
          <w:rFonts w:ascii="Times New Roman" w:eastAsia="Times New Roman" w:hAnsi="Times New Roman" w:cs="Times New Roman"/>
          <w:sz w:val="24"/>
          <w:szCs w:val="24"/>
          <w:lang w:eastAsia="it-IT"/>
        </w:rPr>
      </w:pPr>
    </w:p>
    <w:p>
      <w:pPr>
        <w:shd w:val="clear" w:color="auto" w:fill="FFFFFF"/>
        <w:spacing w:after="0" w:line="270" w:lineRule="atLeast"/>
        <w:jc w:val="both"/>
        <w:textAlignment w:val="baseline"/>
        <w:rPr>
          <w:rFonts w:ascii="Roboto" w:eastAsia="Times New Roman" w:hAnsi="Roboto" w:cs="Times New Roman"/>
          <w:color w:val="4C4C4C"/>
          <w:sz w:val="18"/>
          <w:szCs w:val="18"/>
          <w:lang w:eastAsia="it-IT"/>
        </w:rPr>
      </w:pPr>
      <w:r>
        <w:rPr>
          <w:rFonts w:ascii="Roboto" w:eastAsia="Times New Roman" w:hAnsi="Roboto" w:cs="Times New Roman"/>
          <w:color w:val="4C4C4C"/>
          <w:sz w:val="18"/>
          <w:szCs w:val="18"/>
          <w:lang w:eastAsia="it-IT"/>
        </w:rPr>
        <w:br w:type="textWrapping" w:clear="all"/>
      </w:r>
    </w:p>
    <w:p>
      <w:pPr>
        <w:shd w:val="clear" w:color="auto" w:fill="FFFFFF"/>
        <w:spacing w:after="0" w:line="270" w:lineRule="atLeast"/>
        <w:jc w:val="both"/>
        <w:textAlignment w:val="baseline"/>
        <w:rPr>
          <w:rFonts w:ascii="Roboto" w:eastAsia="Times New Roman" w:hAnsi="Roboto" w:cs="Times New Roman"/>
          <w:color w:val="4C4C4C"/>
          <w:sz w:val="18"/>
          <w:szCs w:val="18"/>
          <w:lang w:eastAsia="it-IT"/>
        </w:rPr>
      </w:pPr>
      <w:r>
        <w:rPr>
          <w:rFonts w:ascii="Roboto" w:eastAsia="Times New Roman" w:hAnsi="Roboto" w:cs="Times New Roman"/>
          <w:color w:val="4C4C4C"/>
          <w:sz w:val="18"/>
          <w:szCs w:val="18"/>
          <w:lang w:eastAsia="it-IT"/>
        </w:rPr>
        <w:pict>
          <v:rect id="_x0000_i1025" style="width:159.05pt;height:.75pt" o:hrpct="330" o:hrstd="t" o:hr="t" fillcolor="#a0a0a0" stroked="f"/>
        </w:pict>
      </w:r>
    </w:p>
    <w:p>
      <w:pPr>
        <w:shd w:val="clear" w:color="auto" w:fill="FFFFFF"/>
        <w:spacing w:after="0" w:line="270" w:lineRule="atLeast"/>
        <w:jc w:val="both"/>
        <w:textAlignment w:val="baseline"/>
        <w:rPr>
          <w:rFonts w:ascii="Roboto" w:eastAsia="Times New Roman" w:hAnsi="Roboto" w:cs="Times New Roman"/>
          <w:color w:val="4C4C4C"/>
          <w:sz w:val="18"/>
          <w:szCs w:val="18"/>
          <w:lang w:eastAsia="it-IT"/>
        </w:rPr>
      </w:pPr>
    </w:p>
    <w:p>
      <w:pPr>
        <w:shd w:val="clear" w:color="auto" w:fill="FFFFFF"/>
        <w:spacing w:after="0" w:line="270" w:lineRule="atLeast"/>
        <w:jc w:val="both"/>
        <w:textAlignment w:val="baseline"/>
        <w:rPr>
          <w:rFonts w:ascii="inherit" w:eastAsia="Times New Roman" w:hAnsi="inherit" w:cs="Times New Roman"/>
          <w:color w:val="4C4C4C"/>
          <w:sz w:val="18"/>
          <w:szCs w:val="18"/>
          <w:lang w:eastAsia="it-IT"/>
        </w:rPr>
      </w:pPr>
      <w:r>
        <w:rPr>
          <w:rFonts w:ascii="inherit" w:eastAsia="Times New Roman" w:hAnsi="inherit" w:cs="Times New Roman"/>
          <w:color w:val="4C4C4C"/>
          <w:sz w:val="18"/>
          <w:szCs w:val="18"/>
          <w:lang w:eastAsia="it-IT"/>
        </w:rPr>
        <w:br/>
      </w:r>
    </w:p>
    <w:bookmarkStart w:id="1" w:name="_ftn1"/>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Times New Roman"/>
          <w:color w:val="4C4C4C"/>
          <w:sz w:val="18"/>
          <w:szCs w:val="18"/>
          <w:lang w:eastAsia="it-IT"/>
        </w:rPr>
        <w:fldChar w:fldCharType="begin"/>
      </w:r>
      <w:r>
        <w:rPr>
          <w:rFonts w:ascii="inherit" w:eastAsia="Times New Roman" w:hAnsi="inherit" w:cs="Times New Roman"/>
          <w:color w:val="4C4C4C"/>
          <w:sz w:val="18"/>
          <w:szCs w:val="18"/>
          <w:lang w:eastAsia="it-IT"/>
        </w:rPr>
        <w:instrText xml:space="preserve"> HYPERLINK "file:///\\\\win-server\\Archivio%20Utenti\\Cartella-Condivisa%20(INFORMAT-NAS)\\REVISIONE%20FISCAL%20E%20ARTICOLI\\articoli%20da%20leggere\\31-10\\LETTO%20%20la%20revisione%20degli%20interpelli%20(1).docx" \l "_ftnref1" \o "" </w:instrText>
      </w:r>
      <w:r>
        <w:rPr>
          <w:rFonts w:ascii="inherit" w:eastAsia="Times New Roman" w:hAnsi="inherit" w:cs="Times New Roman"/>
          <w:color w:val="4C4C4C"/>
          <w:sz w:val="18"/>
          <w:szCs w:val="18"/>
          <w:lang w:eastAsia="it-IT"/>
        </w:rPr>
        <w:fldChar w:fldCharType="separate"/>
      </w:r>
      <w:bookmarkStart w:id="2" w:name="_GoBack"/>
      <w:r>
        <w:rPr>
          <w:rFonts w:ascii="Calibri" w:eastAsia="Times New Roman" w:hAnsi="Calibri" w:cs="Times New Roman"/>
          <w:color w:val="000000"/>
          <w:sz w:val="20"/>
          <w:szCs w:val="20"/>
          <w:u w:val="single"/>
          <w:bdr w:val="none" w:sz="0" w:space="0" w:color="auto" w:frame="1"/>
          <w:lang w:eastAsia="it-IT"/>
        </w:rPr>
        <w:t>[1]</w:t>
      </w:r>
      <w:bookmarkEnd w:id="2"/>
      <w:r>
        <w:rPr>
          <w:rFonts w:ascii="inherit" w:eastAsia="Times New Roman" w:hAnsi="inherit" w:cs="Times New Roman"/>
          <w:color w:val="4C4C4C"/>
          <w:sz w:val="18"/>
          <w:szCs w:val="18"/>
          <w:lang w:eastAsia="it-IT"/>
        </w:rPr>
        <w:fldChar w:fldCharType="end"/>
      </w:r>
      <w:bookmarkEnd w:id="1"/>
      <w:r>
        <w:rPr>
          <w:rFonts w:ascii="Arial" w:eastAsia="Times New Roman" w:hAnsi="Arial" w:cs="Arial"/>
          <w:color w:val="4C4C4C"/>
          <w:bdr w:val="none" w:sz="0" w:space="0" w:color="auto" w:frame="1"/>
          <w:lang w:eastAsia="it-IT"/>
        </w:rPr>
        <w:t xml:space="preserve">Inserito dall’art. 1 del </w:t>
      </w:r>
      <w:proofErr w:type="spellStart"/>
      <w:r>
        <w:rPr>
          <w:rFonts w:ascii="Arial" w:eastAsia="Times New Roman" w:hAnsi="Arial" w:cs="Arial"/>
          <w:color w:val="4C4C4C"/>
          <w:bdr w:val="none" w:sz="0" w:space="0" w:color="auto" w:frame="1"/>
          <w:lang w:eastAsia="it-IT"/>
        </w:rPr>
        <w:t>D.Lgs</w:t>
      </w:r>
      <w:proofErr w:type="spellEnd"/>
      <w:r>
        <w:rPr>
          <w:rFonts w:ascii="Arial" w:eastAsia="Times New Roman" w:hAnsi="Arial" w:cs="Arial"/>
          <w:color w:val="4C4C4C"/>
          <w:bdr w:val="none" w:sz="0" w:space="0" w:color="auto" w:frame="1"/>
          <w:lang w:eastAsia="it-IT"/>
        </w:rPr>
        <w:t xml:space="preserve"> n. 128/2015, con decorrenza dal 1° ottobre 2015.</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26212"/>
    <w:multiLevelType w:val="multilevel"/>
    <w:tmpl w:val="17FA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654685">
      <w:bodyDiv w:val="1"/>
      <w:marLeft w:val="0"/>
      <w:marRight w:val="0"/>
      <w:marTop w:val="0"/>
      <w:marBottom w:val="0"/>
      <w:divBdr>
        <w:top w:val="none" w:sz="0" w:space="0" w:color="auto"/>
        <w:left w:val="none" w:sz="0" w:space="0" w:color="auto"/>
        <w:bottom w:val="none" w:sz="0" w:space="0" w:color="auto"/>
        <w:right w:val="none" w:sz="0" w:space="0" w:color="auto"/>
      </w:divBdr>
      <w:divsChild>
        <w:div w:id="1220749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981</Words>
  <Characters>5598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2015-10-31T18:05:00Z</dcterms:created>
  <dcterms:modified xsi:type="dcterms:W3CDTF">2015-10-31T18:09:00Z</dcterms:modified>
</cp:coreProperties>
</file>